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A4" w:rsidRDefault="00FB3EA4" w:rsidP="00FB3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</w:t>
      </w:r>
    </w:p>
    <w:p w:rsidR="00FB3EA4" w:rsidRDefault="00FB3EA4" w:rsidP="00FB3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INSTITUTIONAL AND COURSE VALIDATION DOCUMENTATION CHECKLIST</w:t>
      </w:r>
    </w:p>
    <w:p w:rsidR="00FB3EA4" w:rsidRDefault="00FB3EA4" w:rsidP="00FB3E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3EA4" w:rsidRDefault="00FB3EA4" w:rsidP="00FB3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checklist below outlines the institutional and course validation documentation that will be provided by the University of Essex and XXXXXX for the partner institution and course approval event. T</w:t>
      </w:r>
      <w:r w:rsidRPr="002D43E7">
        <w:rPr>
          <w:rFonts w:ascii="Arial" w:hAnsi="Arial" w:cs="Arial"/>
        </w:rPr>
        <w:t>he docume</w:t>
      </w:r>
      <w:r>
        <w:rPr>
          <w:rFonts w:ascii="Arial" w:hAnsi="Arial" w:cs="Arial"/>
        </w:rPr>
        <w:t xml:space="preserve">ntation </w:t>
      </w:r>
      <w:r w:rsidRPr="002D43E7">
        <w:rPr>
          <w:rFonts w:ascii="Arial" w:hAnsi="Arial" w:cs="Arial"/>
        </w:rPr>
        <w:t>will be sent electronically to members of the</w:t>
      </w:r>
      <w:r>
        <w:rPr>
          <w:rFonts w:ascii="Arial" w:hAnsi="Arial" w:cs="Arial"/>
        </w:rPr>
        <w:t xml:space="preserve"> institutional and course validation panel prior to the event.</w:t>
      </w:r>
    </w:p>
    <w:p w:rsidR="00FB3EA4" w:rsidRDefault="00FB3EA4" w:rsidP="00FB3EA4">
      <w:pPr>
        <w:spacing w:after="0" w:line="240" w:lineRule="auto"/>
        <w:rPr>
          <w:rFonts w:ascii="Arial" w:hAnsi="Arial" w:cs="Arial"/>
        </w:rPr>
      </w:pPr>
    </w:p>
    <w:p w:rsidR="00FB3EA4" w:rsidRPr="00606B95" w:rsidRDefault="00FB3EA4" w:rsidP="00FB3EA4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575417">
        <w:rPr>
          <w:rFonts w:ascii="Arial" w:hAnsi="Arial" w:cs="Arial"/>
          <w:b/>
          <w:sz w:val="24"/>
          <w:szCs w:val="24"/>
        </w:rPr>
        <w:t>Institutional Documentation</w:t>
      </w:r>
    </w:p>
    <w:p w:rsidR="00FB3EA4" w:rsidRDefault="00FB3EA4" w:rsidP="00FB3EA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46"/>
        <w:tblW w:w="11054" w:type="dxa"/>
        <w:tblLook w:val="04A0" w:firstRow="1" w:lastRow="0" w:firstColumn="1" w:lastColumn="0" w:noHBand="0" w:noVBand="1"/>
      </w:tblPr>
      <w:tblGrid>
        <w:gridCol w:w="857"/>
        <w:gridCol w:w="6696"/>
        <w:gridCol w:w="2087"/>
        <w:gridCol w:w="1414"/>
      </w:tblGrid>
      <w:tr w:rsidR="00FB3EA4" w:rsidRPr="007120B1" w:rsidTr="00CD0AB9">
        <w:tc>
          <w:tcPr>
            <w:tcW w:w="75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Documentation to be provided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3EA4" w:rsidRPr="00CD0AB9" w:rsidRDefault="00FB3EA4" w:rsidP="002C55E8">
            <w:pPr>
              <w:jc w:val="center"/>
              <w:rPr>
                <w:rFonts w:ascii="Arial" w:hAnsi="Arial" w:cs="Arial"/>
                <w:b/>
              </w:rPr>
            </w:pPr>
            <w:r w:rsidRPr="00CD0AB9">
              <w:rPr>
                <w:rFonts w:ascii="Arial" w:hAnsi="Arial" w:cs="Arial"/>
                <w:b/>
              </w:rPr>
              <w:t>Documents attached</w:t>
            </w: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FB3EA4" w:rsidRPr="002B3328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Institutional Higher Education strategy</w:t>
            </w:r>
            <w:r w:rsidRPr="00721267">
              <w:rPr>
                <w:rFonts w:ascii="Arial" w:hAnsi="Arial" w:cs="Arial"/>
              </w:rPr>
              <w:t xml:space="preserve"> and details of how thi</w:t>
            </w:r>
            <w:r>
              <w:rPr>
                <w:rFonts w:ascii="Arial" w:hAnsi="Arial" w:cs="Arial"/>
              </w:rPr>
              <w:t>s aligns with the University’s S</w:t>
            </w:r>
            <w:r w:rsidRPr="00721267">
              <w:rPr>
                <w:rFonts w:ascii="Arial" w:hAnsi="Arial" w:cs="Arial"/>
              </w:rPr>
              <w:t xml:space="preserve">trategic </w:t>
            </w:r>
            <w:r>
              <w:rPr>
                <w:rFonts w:ascii="Arial" w:hAnsi="Arial" w:cs="Arial"/>
              </w:rPr>
              <w:t>P</w:t>
            </w:r>
            <w:r w:rsidRPr="00721267">
              <w:rPr>
                <w:rFonts w:ascii="Arial" w:hAnsi="Arial" w:cs="Arial"/>
              </w:rPr>
              <w:t xml:space="preserve">lan and </w:t>
            </w:r>
            <w:r>
              <w:rPr>
                <w:rFonts w:ascii="Arial" w:hAnsi="Arial" w:cs="Arial"/>
              </w:rPr>
              <w:t>E</w:t>
            </w:r>
            <w:r w:rsidRPr="00721267">
              <w:rPr>
                <w:rFonts w:ascii="Arial" w:hAnsi="Arial" w:cs="Arial"/>
              </w:rPr>
              <w:t xml:space="preserve">ducation </w:t>
            </w:r>
            <w:r>
              <w:rPr>
                <w:rFonts w:ascii="Arial" w:hAnsi="Arial" w:cs="Arial"/>
              </w:rPr>
              <w:t>S</w:t>
            </w:r>
            <w:r w:rsidRPr="00721267">
              <w:rPr>
                <w:rFonts w:ascii="Arial" w:hAnsi="Arial" w:cs="Arial"/>
              </w:rPr>
              <w:t>trategy</w:t>
            </w:r>
            <w:r w:rsidRPr="00721267">
              <w:rPr>
                <w:rStyle w:val="FootnoteReference"/>
                <w:rFonts w:ascii="Arial" w:hAnsi="Arial" w:cs="Arial"/>
              </w:rPr>
              <w:footnoteReference w:id="1"/>
            </w:r>
            <w:r w:rsidRPr="00721267">
              <w:rPr>
                <w:rFonts w:ascii="Arial" w:hAnsi="Arial" w:cs="Arial"/>
              </w:rPr>
              <w:t>.</w:t>
            </w:r>
          </w:p>
          <w:p w:rsidR="00FB3EA4" w:rsidRDefault="00FB3EA4" w:rsidP="002C5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</w:tcPr>
          <w:p w:rsidR="00FB3EA4" w:rsidRPr="00575417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Organisational Charts </w:t>
            </w:r>
            <w:r>
              <w:rPr>
                <w:rFonts w:ascii="Arial" w:hAnsi="Arial" w:cs="Arial"/>
              </w:rPr>
              <w:t xml:space="preserve">and details of </w:t>
            </w:r>
            <w:r w:rsidRPr="00451A6A">
              <w:rPr>
                <w:rFonts w:ascii="Arial" w:hAnsi="Arial" w:cs="Arial"/>
              </w:rPr>
              <w:t>key</w:t>
            </w:r>
            <w:r w:rsidRPr="00451A6A">
              <w:rPr>
                <w:rFonts w:ascii="Arial" w:hAnsi="Arial" w:cs="Arial"/>
                <w:b/>
              </w:rPr>
              <w:t xml:space="preserve"> Higher Education staffing roles</w:t>
            </w:r>
            <w:r>
              <w:rPr>
                <w:rFonts w:ascii="Arial" w:hAnsi="Arial" w:cs="Arial"/>
              </w:rPr>
              <w:t xml:space="preserve"> relating to the Partnership.</w:t>
            </w:r>
          </w:p>
          <w:p w:rsidR="00FB3EA4" w:rsidRPr="00451A6A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Default="00FB3EA4" w:rsidP="002C55E8">
            <w:pPr>
              <w:rPr>
                <w:rFonts w:ascii="Arial" w:hAnsi="Arial" w:cs="Arial"/>
              </w:rPr>
            </w:pPr>
            <w:r w:rsidRPr="00451A6A">
              <w:rPr>
                <w:rFonts w:ascii="Arial" w:hAnsi="Arial" w:cs="Arial"/>
              </w:rPr>
              <w:t xml:space="preserve">Details of </w:t>
            </w:r>
            <w:r w:rsidRPr="00165AF0">
              <w:rPr>
                <w:rFonts w:ascii="Arial" w:hAnsi="Arial" w:cs="Arial"/>
                <w:b/>
              </w:rPr>
              <w:t>i</w:t>
            </w:r>
            <w:r w:rsidRPr="00451A6A">
              <w:rPr>
                <w:rFonts w:ascii="Arial" w:hAnsi="Arial" w:cs="Arial"/>
                <w:b/>
              </w:rPr>
              <w:t>nstitutional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internal Higher Education committee structures </w:t>
            </w:r>
            <w:r>
              <w:rPr>
                <w:rFonts w:ascii="Arial" w:hAnsi="Arial" w:cs="Arial"/>
              </w:rPr>
              <w:t>or equivalent to support decision making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541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including membership and terms of reference if appropriate).</w:t>
            </w:r>
          </w:p>
          <w:p w:rsidR="00FB3EA4" w:rsidRPr="008B1F47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62848" w:rsidRDefault="00FB3EA4" w:rsidP="002C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Institutional Higher Education learning, teaching and assessment strategy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451A6A" w:rsidRDefault="00FB3EA4" w:rsidP="002C55E8">
            <w:pPr>
              <w:rPr>
                <w:rFonts w:ascii="Arial" w:hAnsi="Arial" w:cs="Arial"/>
              </w:rPr>
            </w:pPr>
            <w:r w:rsidRPr="00562848">
              <w:rPr>
                <w:rFonts w:ascii="Arial" w:hAnsi="Arial" w:cs="Arial"/>
                <w:b/>
              </w:rPr>
              <w:t xml:space="preserve">Institutional </w:t>
            </w:r>
            <w:r>
              <w:rPr>
                <w:rFonts w:ascii="Arial" w:hAnsi="Arial" w:cs="Arial"/>
                <w:b/>
              </w:rPr>
              <w:t xml:space="preserve">Higher Education policies and procedures </w:t>
            </w:r>
            <w:r w:rsidRPr="00451A6A">
              <w:rPr>
                <w:rFonts w:ascii="Arial" w:hAnsi="Arial" w:cs="Arial"/>
              </w:rPr>
              <w:t>map</w:t>
            </w:r>
            <w:r>
              <w:rPr>
                <w:rFonts w:ascii="Arial" w:hAnsi="Arial" w:cs="Arial"/>
              </w:rPr>
              <w:t>ped</w:t>
            </w:r>
            <w:r w:rsidRPr="00451A6A">
              <w:rPr>
                <w:rFonts w:ascii="Arial" w:hAnsi="Arial" w:cs="Arial"/>
              </w:rPr>
              <w:t xml:space="preserve"> to the University’s policies and procedures.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75417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965CD8" w:rsidRDefault="00FB3EA4" w:rsidP="002C55E8">
            <w:pPr>
              <w:rPr>
                <w:rFonts w:ascii="Arial" w:hAnsi="Arial" w:cs="Arial"/>
              </w:rPr>
            </w:pPr>
            <w:r w:rsidRPr="00C62A50"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Higher Education learning resources</w:t>
            </w:r>
            <w:r>
              <w:rPr>
                <w:rFonts w:ascii="Arial" w:hAnsi="Arial" w:cs="Arial"/>
              </w:rPr>
              <w:t>, including specific subject-related resources.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Default="00FB3EA4" w:rsidP="002C55E8">
            <w:pPr>
              <w:rPr>
                <w:rFonts w:ascii="Arial" w:hAnsi="Arial" w:cs="Arial"/>
              </w:rPr>
            </w:pPr>
            <w:r w:rsidRPr="00721267">
              <w:rPr>
                <w:rFonts w:ascii="Arial" w:hAnsi="Arial" w:cs="Arial"/>
                <w:b/>
              </w:rPr>
              <w:t>Higher Education staff</w:t>
            </w:r>
            <w:r>
              <w:rPr>
                <w:rFonts w:ascii="Arial" w:hAnsi="Arial" w:cs="Arial"/>
                <w:b/>
              </w:rPr>
              <w:t xml:space="preserve"> development activity,</w:t>
            </w:r>
            <w:r w:rsidRPr="00721267">
              <w:rPr>
                <w:rFonts w:ascii="Arial" w:hAnsi="Arial" w:cs="Arial"/>
              </w:rPr>
              <w:t xml:space="preserve"> including engagement with scholarly activity. </w:t>
            </w:r>
          </w:p>
          <w:p w:rsidR="00FB3EA4" w:rsidRPr="00593A3B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93A3B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 xml:space="preserve">Student </w:t>
            </w:r>
            <w:r w:rsidRPr="00AA2873">
              <w:rPr>
                <w:rFonts w:ascii="Arial" w:hAnsi="Arial" w:cs="Arial"/>
                <w:b/>
              </w:rPr>
              <w:t>Support</w:t>
            </w:r>
            <w:r>
              <w:rPr>
                <w:rFonts w:ascii="Arial" w:hAnsi="Arial" w:cs="Arial"/>
                <w:b/>
              </w:rPr>
              <w:t xml:space="preserve"> services</w:t>
            </w:r>
            <w:r>
              <w:rPr>
                <w:rFonts w:ascii="Arial" w:hAnsi="Arial" w:cs="Arial"/>
              </w:rPr>
              <w:t>, including links to relevant academic support, general advice and assistance and careers guidance information.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3B66E1" w:rsidRDefault="00FB3EA4" w:rsidP="00FB3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  <w:b/>
              </w:rPr>
              <w:t xml:space="preserve">student representation and feedback, </w:t>
            </w:r>
            <w:r>
              <w:rPr>
                <w:rFonts w:ascii="Arial" w:hAnsi="Arial" w:cs="Arial"/>
              </w:rPr>
              <w:t>including course committee minutes, or notes from student forums for the last academic year.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593A3B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3B66E1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Equality and diversity</w:t>
            </w:r>
            <w:r>
              <w:rPr>
                <w:rFonts w:ascii="Arial" w:hAnsi="Arial" w:cs="Arial"/>
              </w:rPr>
              <w:t xml:space="preserve"> information and policy (including evidence of how the needs of disabled students are addressed)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B3EA4" w:rsidRPr="007120B1" w:rsidTr="002C55E8"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Default="00FB3EA4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  <w:b/>
              </w:rPr>
              <w:t>employer engagement</w:t>
            </w:r>
            <w:r>
              <w:rPr>
                <w:rFonts w:ascii="Arial" w:hAnsi="Arial" w:cs="Arial"/>
              </w:rPr>
              <w:t xml:space="preserve"> (if applicable).</w:t>
            </w:r>
          </w:p>
          <w:p w:rsidR="00FB3EA4" w:rsidRPr="00096161" w:rsidRDefault="00FB3EA4" w:rsidP="002C55E8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Default="00FB3EA4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B3EA4" w:rsidRPr="007120B1" w:rsidRDefault="00FB3EA4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B3EA4" w:rsidRDefault="00FB3EA4" w:rsidP="00580A91">
      <w:pPr>
        <w:tabs>
          <w:tab w:val="left" w:pos="1423"/>
        </w:tabs>
        <w:rPr>
          <w:rFonts w:ascii="Arial" w:hAnsi="Arial" w:cs="Arial"/>
        </w:rPr>
      </w:pPr>
    </w:p>
    <w:p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0F6691" w:rsidRDefault="000F6691" w:rsidP="00580A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580A91" w:rsidRDefault="00580A91" w:rsidP="000F6691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Course Documentation</w:t>
      </w:r>
    </w:p>
    <w:p w:rsidR="000F6691" w:rsidRPr="000F6691" w:rsidRDefault="000F6691" w:rsidP="000F6691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6"/>
        <w:tblW w:w="11054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2161"/>
        <w:gridCol w:w="1414"/>
      </w:tblGrid>
      <w:tr w:rsidR="000F6691" w:rsidRPr="007120B1" w:rsidTr="00CD0AB9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6691" w:rsidRPr="007120B1" w:rsidRDefault="000F6691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Documentation to be provided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6691" w:rsidRPr="007120B1" w:rsidRDefault="000F6691" w:rsidP="002C55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0AB9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6691" w:rsidRPr="00CD0AB9" w:rsidRDefault="000F6691" w:rsidP="002C55E8">
            <w:pPr>
              <w:jc w:val="center"/>
              <w:rPr>
                <w:rFonts w:ascii="Arial" w:hAnsi="Arial" w:cs="Arial"/>
                <w:b/>
              </w:rPr>
            </w:pPr>
            <w:r w:rsidRPr="00CD0AB9">
              <w:rPr>
                <w:rFonts w:ascii="Arial" w:hAnsi="Arial" w:cs="Arial"/>
                <w:b/>
              </w:rPr>
              <w:t>Documents attached</w:t>
            </w: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</w:tcBorders>
          </w:tcPr>
          <w:p w:rsidR="000F6691" w:rsidRPr="007120B1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</w:tcBorders>
          </w:tcPr>
          <w:p w:rsidR="000F6691" w:rsidRDefault="000F6691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statement explaining the </w:t>
            </w:r>
            <w:r w:rsidRPr="00EC58C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ourse rationale, aims and objectives, </w:t>
            </w:r>
            <w:r w:rsidRPr="003074B0">
              <w:rPr>
                <w:rFonts w:ascii="Arial" w:hAnsi="Arial" w:cs="Arial"/>
              </w:rPr>
              <w:t xml:space="preserve">including consideration of the </w:t>
            </w:r>
            <w:hyperlink r:id="rId8" w:history="1">
              <w:r w:rsidRPr="002846A0">
                <w:rPr>
                  <w:rStyle w:val="Hyperlink"/>
                  <w:rFonts w:ascii="Arial" w:hAnsi="Arial" w:cs="Arial"/>
                </w:rPr>
                <w:t>University’s Education Strategy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0F6691" w:rsidRPr="00451A6A" w:rsidRDefault="000F6691" w:rsidP="002C55E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F6691" w:rsidRPr="00575417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F6691" w:rsidRPr="007120B1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7120B1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Default="000F6691" w:rsidP="002C5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Learning, teaching and assessment strategy</w:t>
            </w:r>
            <w:r>
              <w:rPr>
                <w:rFonts w:ascii="Arial" w:hAnsi="Arial" w:cs="Arial"/>
              </w:rPr>
              <w:t xml:space="preserve"> including summary of assessment methods used for each module and associated submission deadlines, assessment criteria and rules of assessment, in accordance with the University’s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Postgraduate</w:t>
              </w:r>
              <w:r w:rsidRPr="002846A0">
                <w:rPr>
                  <w:rStyle w:val="Hyperlink"/>
                  <w:rFonts w:ascii="Arial" w:hAnsi="Arial" w:cs="Arial"/>
                </w:rPr>
                <w:t xml:space="preserve"> Rules of Assessment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0F6691" w:rsidRPr="00965CD8" w:rsidRDefault="000F6691" w:rsidP="002C55E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7120B1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  <w:b/>
              </w:rPr>
              <w:t>Programme Specification</w:t>
            </w:r>
            <w:r w:rsidRPr="008F6A5D">
              <w:rPr>
                <w:rFonts w:ascii="Arial" w:hAnsi="Arial" w:cs="Arial"/>
              </w:rPr>
              <w:t xml:space="preserve"> with course title, including programme and delivery structure, </w:t>
            </w:r>
            <w:hyperlink r:id="rId10" w:history="1">
              <w:r w:rsidRPr="000F6691">
                <w:rPr>
                  <w:rStyle w:val="Hyperlink"/>
                  <w:rFonts w:ascii="Arial" w:hAnsi="Arial" w:cs="Arial"/>
                </w:rPr>
                <w:t>QAA benchmark statements</w:t>
              </w:r>
            </w:hyperlink>
            <w:r>
              <w:rPr>
                <w:rFonts w:ascii="Arial" w:hAnsi="Arial" w:cs="Arial"/>
              </w:rPr>
              <w:t xml:space="preserve"> and </w:t>
            </w:r>
            <w:r w:rsidRPr="008F6A5D">
              <w:rPr>
                <w:rFonts w:ascii="Arial" w:hAnsi="Arial" w:cs="Arial"/>
              </w:rPr>
              <w:t>named</w:t>
            </w:r>
            <w:r>
              <w:rPr>
                <w:rFonts w:ascii="Arial" w:hAnsi="Arial" w:cs="Arial"/>
              </w:rPr>
              <w:t xml:space="preserve"> and </w:t>
            </w:r>
            <w:r w:rsidRPr="008F6A5D">
              <w:rPr>
                <w:rFonts w:ascii="Arial" w:hAnsi="Arial" w:cs="Arial"/>
              </w:rPr>
              <w:t>unnamed exit awards.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0F6691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</w:rPr>
              <w:t>All</w:t>
            </w:r>
            <w:r w:rsidRPr="008F6A5D">
              <w:rPr>
                <w:rFonts w:ascii="Arial" w:hAnsi="Arial" w:cs="Arial"/>
                <w:b/>
              </w:rPr>
              <w:t xml:space="preserve"> module outlines</w:t>
            </w:r>
            <w:r w:rsidRPr="008F6A5D">
              <w:rPr>
                <w:rFonts w:ascii="Arial" w:hAnsi="Arial" w:cs="Arial"/>
              </w:rPr>
              <w:t xml:space="preserve">, by level/stage including assessment tasks and up to date </w:t>
            </w:r>
            <w:r w:rsidRPr="008F6A5D">
              <w:rPr>
                <w:rFonts w:ascii="Arial" w:hAnsi="Arial" w:cs="Arial"/>
                <w:b/>
              </w:rPr>
              <w:t>reading lists</w:t>
            </w:r>
            <w:r w:rsidRPr="008F6A5D">
              <w:rPr>
                <w:rFonts w:ascii="Arial" w:hAnsi="Arial" w:cs="Arial"/>
              </w:rPr>
              <w:t xml:space="preserve"> which clearly define required reading and recommended reading</w:t>
            </w:r>
            <w:r w:rsidRPr="008F6A5D">
              <w:rPr>
                <w:rFonts w:ascii="Arial" w:hAnsi="Arial" w:cs="Arial"/>
                <w:b/>
              </w:rPr>
              <w:t xml:space="preserve"> </w:t>
            </w:r>
            <w:r w:rsidRPr="008F6A5D">
              <w:rPr>
                <w:rFonts w:ascii="Arial" w:hAnsi="Arial" w:cs="Arial"/>
              </w:rPr>
              <w:t>(unless included in the Student Handbook).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  <w:b/>
              </w:rPr>
              <w:t>Module Maps</w:t>
            </w:r>
            <w:r w:rsidRPr="008F6A5D">
              <w:rPr>
                <w:rFonts w:ascii="Arial" w:hAnsi="Arial" w:cs="Arial"/>
              </w:rPr>
              <w:t xml:space="preserve"> – mapping exercise showing the relationship between the course and the module learning outcomes.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rPr>
                <w:rFonts w:ascii="Arial" w:hAnsi="Arial" w:cs="Arial"/>
              </w:rPr>
            </w:pPr>
            <w:r w:rsidRPr="008F6A5D">
              <w:rPr>
                <w:rFonts w:ascii="Arial" w:hAnsi="Arial" w:cs="Arial"/>
                <w:b/>
              </w:rPr>
              <w:t xml:space="preserve">Recruitment, selection and admissions criteria </w:t>
            </w:r>
            <w:r w:rsidRPr="008F6A5D">
              <w:rPr>
                <w:rFonts w:ascii="Arial" w:hAnsi="Arial" w:cs="Arial"/>
              </w:rPr>
              <w:t>including entry profile data, target market(s) and estimated student numbers and induction information.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Default="000F6691" w:rsidP="002C55E8">
            <w:pPr>
              <w:rPr>
                <w:rFonts w:ascii="Arial" w:hAnsi="Arial" w:cs="Arial"/>
              </w:rPr>
            </w:pPr>
            <w:r w:rsidRPr="00165AF0">
              <w:rPr>
                <w:rFonts w:ascii="Arial" w:hAnsi="Arial" w:cs="Arial"/>
                <w:b/>
              </w:rPr>
              <w:t>Current</w:t>
            </w:r>
            <w:r w:rsidRPr="008F6A5D">
              <w:rPr>
                <w:rFonts w:ascii="Arial" w:hAnsi="Arial" w:cs="Arial"/>
              </w:rPr>
              <w:t xml:space="preserve"> </w:t>
            </w:r>
            <w:r w:rsidRPr="008F6A5D">
              <w:rPr>
                <w:rFonts w:ascii="Arial" w:hAnsi="Arial" w:cs="Arial"/>
                <w:b/>
              </w:rPr>
              <w:t xml:space="preserve">course management and staffing </w:t>
            </w:r>
            <w:r w:rsidR="000F6631">
              <w:rPr>
                <w:rFonts w:ascii="Arial" w:hAnsi="Arial" w:cs="Arial"/>
              </w:rPr>
              <w:t xml:space="preserve">(including staff CVs </w:t>
            </w:r>
            <w:bookmarkStart w:id="0" w:name="_GoBack"/>
            <w:bookmarkEnd w:id="0"/>
            <w:r w:rsidRPr="008F6A5D">
              <w:rPr>
                <w:rFonts w:ascii="Arial" w:hAnsi="Arial" w:cs="Arial"/>
              </w:rPr>
              <w:t>outlining relevant qualifications, current and recent positions held and relevant publications).</w:t>
            </w:r>
          </w:p>
          <w:p w:rsidR="000F6691" w:rsidRPr="008F6A5D" w:rsidRDefault="000F6691" w:rsidP="002C55E8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F6691" w:rsidRPr="007120B1" w:rsidTr="002C55E8">
        <w:tc>
          <w:tcPr>
            <w:tcW w:w="793" w:type="dxa"/>
            <w:tcBorders>
              <w:top w:val="single" w:sz="4" w:space="0" w:color="auto"/>
            </w:tcBorders>
          </w:tcPr>
          <w:p w:rsidR="000F6691" w:rsidRPr="008F6A5D" w:rsidRDefault="000F6691" w:rsidP="002C55E8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auto"/>
            </w:tcBorders>
          </w:tcPr>
          <w:p w:rsidR="000F6691" w:rsidRDefault="000F6691" w:rsidP="002C55E8">
            <w:pPr>
              <w:rPr>
                <w:rFonts w:ascii="Arial" w:hAnsi="Arial" w:cs="Arial"/>
                <w:b/>
              </w:rPr>
            </w:pPr>
            <w:r w:rsidRPr="008F6A5D">
              <w:rPr>
                <w:rFonts w:ascii="Arial" w:hAnsi="Arial" w:cs="Arial"/>
                <w:b/>
              </w:rPr>
              <w:t>Student course handbook</w:t>
            </w:r>
          </w:p>
          <w:p w:rsidR="000F6691" w:rsidRPr="008F6A5D" w:rsidRDefault="000F6691" w:rsidP="002C5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F6691" w:rsidRPr="008F6A5D" w:rsidRDefault="000F6691" w:rsidP="002C55E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0F6691" w:rsidRDefault="000F6691" w:rsidP="00580A91">
      <w:pPr>
        <w:tabs>
          <w:tab w:val="left" w:pos="1423"/>
        </w:tabs>
      </w:pPr>
    </w:p>
    <w:sectPr w:rsidR="000F669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14" w:rsidRDefault="00160A14" w:rsidP="00FB3EA4">
      <w:pPr>
        <w:spacing w:after="0" w:line="240" w:lineRule="auto"/>
      </w:pPr>
      <w:r>
        <w:separator/>
      </w:r>
    </w:p>
  </w:endnote>
  <w:endnote w:type="continuationSeparator" w:id="0">
    <w:p w:rsidR="00160A14" w:rsidRDefault="00160A14" w:rsidP="00F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14" w:rsidRDefault="00160A14" w:rsidP="00FB3EA4">
      <w:pPr>
        <w:spacing w:after="0" w:line="240" w:lineRule="auto"/>
      </w:pPr>
      <w:r>
        <w:separator/>
      </w:r>
    </w:p>
  </w:footnote>
  <w:footnote w:type="continuationSeparator" w:id="0">
    <w:p w:rsidR="00160A14" w:rsidRDefault="00160A14" w:rsidP="00FB3EA4">
      <w:pPr>
        <w:spacing w:after="0" w:line="240" w:lineRule="auto"/>
      </w:pPr>
      <w:r>
        <w:continuationSeparator/>
      </w:r>
    </w:p>
  </w:footnote>
  <w:footnote w:id="1">
    <w:p w:rsidR="00FB3EA4" w:rsidRPr="00E10047" w:rsidRDefault="00FB3EA4" w:rsidP="00FB3EA4">
      <w:pPr>
        <w:pStyle w:val="FootnoteText"/>
        <w:rPr>
          <w:rFonts w:ascii="Arial" w:hAnsi="Arial" w:cs="Arial"/>
          <w:sz w:val="18"/>
          <w:szCs w:val="18"/>
        </w:rPr>
      </w:pPr>
      <w:r w:rsidRPr="002B3328">
        <w:rPr>
          <w:rStyle w:val="FootnoteReference"/>
          <w:rFonts w:ascii="Arial" w:hAnsi="Arial" w:cs="Arial"/>
          <w:sz w:val="18"/>
          <w:szCs w:val="18"/>
        </w:rPr>
        <w:footnoteRef/>
      </w:r>
      <w:r w:rsidRPr="002B332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E10047">
          <w:rPr>
            <w:rStyle w:val="Hyperlink"/>
            <w:rFonts w:ascii="Arial" w:hAnsi="Arial" w:cs="Arial"/>
            <w:color w:val="auto"/>
            <w:sz w:val="18"/>
            <w:szCs w:val="18"/>
          </w:rPr>
          <w:t>http://www.essex.ac.uk/about/strategy/</w:t>
        </w:r>
      </w:hyperlink>
      <w:r w:rsidRPr="00E10047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A4" w:rsidRDefault="00FB3EA4">
    <w:pPr>
      <w:pStyle w:val="Header"/>
    </w:pPr>
    <w:r w:rsidRPr="001F38C8">
      <w:rPr>
        <w:noProof/>
      </w:rPr>
      <w:drawing>
        <wp:anchor distT="0" distB="0" distL="114300" distR="114300" simplePos="0" relativeHeight="251659264" behindDoc="1" locked="0" layoutInCell="1" allowOverlap="1" wp14:anchorId="4D9128F7" wp14:editId="54DD6AD0">
          <wp:simplePos x="0" y="0"/>
          <wp:positionH relativeFrom="column">
            <wp:posOffset>-489659</wp:posOffset>
          </wp:positionH>
          <wp:positionV relativeFrom="paragraph">
            <wp:posOffset>-182925</wp:posOffset>
          </wp:positionV>
          <wp:extent cx="1479600" cy="540000"/>
          <wp:effectExtent l="0" t="0" r="6350" b="0"/>
          <wp:wrapNone/>
          <wp:docPr id="1" name="Picture 7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ssex logo black U:BLED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9D0"/>
    <w:multiLevelType w:val="hybridMultilevel"/>
    <w:tmpl w:val="04382FC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A4"/>
    <w:rsid w:val="000F6631"/>
    <w:rsid w:val="000F6691"/>
    <w:rsid w:val="00160A14"/>
    <w:rsid w:val="00580A91"/>
    <w:rsid w:val="007A3FB1"/>
    <w:rsid w:val="00CB0B0E"/>
    <w:rsid w:val="00CD0AB9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A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4"/>
  </w:style>
  <w:style w:type="paragraph" w:styleId="Footer">
    <w:name w:val="footer"/>
    <w:basedOn w:val="Normal"/>
    <w:link w:val="Foot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4"/>
  </w:style>
  <w:style w:type="table" w:styleId="TableGrid">
    <w:name w:val="Table Grid"/>
    <w:basedOn w:val="TableNormal"/>
    <w:uiPriority w:val="59"/>
    <w:rsid w:val="00FB3EA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E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3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EA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B3E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A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4"/>
  </w:style>
  <w:style w:type="paragraph" w:styleId="Footer">
    <w:name w:val="footer"/>
    <w:basedOn w:val="Normal"/>
    <w:link w:val="FooterChar"/>
    <w:uiPriority w:val="99"/>
    <w:unhideWhenUsed/>
    <w:rsid w:val="00FB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4"/>
  </w:style>
  <w:style w:type="table" w:styleId="TableGrid">
    <w:name w:val="Table Grid"/>
    <w:basedOn w:val="TableNormal"/>
    <w:uiPriority w:val="59"/>
    <w:rsid w:val="00FB3EA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E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3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EA4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B3E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about/strateg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aa.ac.uk/assuring-standards-and-quality/the-quality-code/subject-benchmark-stat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ac.uk/students/exams-and-coursework/ppg/pgt/assess-rules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sex.ac.uk/about/strate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Hannah L</dc:creator>
  <cp:lastModifiedBy>Frost, Charlotte L</cp:lastModifiedBy>
  <cp:revision>2</cp:revision>
  <dcterms:created xsi:type="dcterms:W3CDTF">2018-02-27T15:41:00Z</dcterms:created>
  <dcterms:modified xsi:type="dcterms:W3CDTF">2018-02-27T15:41:00Z</dcterms:modified>
</cp:coreProperties>
</file>