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EB5" w:rsidRPr="003D74ED" w:rsidRDefault="000C1EB5" w:rsidP="00243F5A">
      <w:pPr>
        <w:pStyle w:val="Heading7"/>
        <w:numPr>
          <w:ilvl w:val="0"/>
          <w:numId w:val="0"/>
        </w:numPr>
        <w:jc w:val="left"/>
        <w:rPr>
          <w:rFonts w:ascii="Arial" w:hAnsi="Arial" w:cs="Arial"/>
        </w:rPr>
      </w:pPr>
      <w:bookmarkStart w:id="0" w:name="_Toc241560614"/>
      <w:bookmarkStart w:id="1" w:name="_Toc275962264"/>
      <w:bookmarkStart w:id="2" w:name="_Toc276013240"/>
      <w:bookmarkStart w:id="3" w:name="_Toc179877380"/>
      <w:bookmarkStart w:id="4" w:name="_Toc313517401"/>
      <w:r w:rsidRPr="003D74ED">
        <w:rPr>
          <w:rFonts w:ascii="Arial" w:hAnsi="Arial" w:cs="Arial"/>
        </w:rPr>
        <w:t xml:space="preserve">Maintaining Confidentiality in Your Work: Confidentiality Policy of </w:t>
      </w:r>
      <w:proofErr w:type="gramStart"/>
      <w:r w:rsidRPr="003D74ED">
        <w:rPr>
          <w:rFonts w:ascii="Arial" w:hAnsi="Arial" w:cs="Arial"/>
        </w:rPr>
        <w:t>The</w:t>
      </w:r>
      <w:proofErr w:type="gramEnd"/>
      <w:r w:rsidRPr="003D74ED">
        <w:rPr>
          <w:rFonts w:ascii="Arial" w:hAnsi="Arial" w:cs="Arial"/>
        </w:rPr>
        <w:t xml:space="preserve"> School of Health and Human Sciences</w:t>
      </w:r>
      <w:bookmarkEnd w:id="0"/>
      <w:bookmarkEnd w:id="1"/>
      <w:bookmarkEnd w:id="2"/>
      <w:bookmarkEnd w:id="3"/>
      <w:bookmarkEnd w:id="4"/>
    </w:p>
    <w:p w:rsidR="000C1EB5" w:rsidRPr="003D74ED" w:rsidRDefault="000C1EB5" w:rsidP="00243F5A">
      <w:pPr>
        <w:jc w:val="left"/>
        <w:rPr>
          <w:rFonts w:cs="Arial"/>
        </w:rPr>
      </w:pPr>
    </w:p>
    <w:p w:rsidR="000C1EB5" w:rsidRDefault="000C1EB5" w:rsidP="00243F5A">
      <w:pPr>
        <w:jc w:val="left"/>
        <w:rPr>
          <w:rFonts w:cs="Arial"/>
          <w:i/>
          <w:sz w:val="18"/>
          <w:szCs w:val="18"/>
        </w:rPr>
      </w:pPr>
      <w:r w:rsidRPr="003D74ED">
        <w:rPr>
          <w:rFonts w:cs="Arial"/>
          <w:i/>
          <w:sz w:val="18"/>
          <w:szCs w:val="18"/>
        </w:rPr>
        <w:t>*(This section is produced in full from the HHS Postgraduate Students’ H</w:t>
      </w:r>
      <w:r w:rsidR="00243F5A">
        <w:rPr>
          <w:rFonts w:cs="Arial"/>
          <w:i/>
          <w:sz w:val="18"/>
          <w:szCs w:val="18"/>
        </w:rPr>
        <w:t>andbook, 2011-2012, pp. 39-42)</w:t>
      </w:r>
    </w:p>
    <w:p w:rsidR="00243F5A" w:rsidRPr="003D74ED" w:rsidRDefault="00243F5A" w:rsidP="00243F5A">
      <w:pPr>
        <w:jc w:val="left"/>
        <w:rPr>
          <w:rFonts w:cs="Arial"/>
          <w:i/>
          <w:sz w:val="18"/>
          <w:szCs w:val="18"/>
        </w:rPr>
      </w:pPr>
    </w:p>
    <w:p w:rsidR="000C1EB5" w:rsidRPr="003D74ED" w:rsidRDefault="000C1EB5" w:rsidP="00243F5A">
      <w:pPr>
        <w:pStyle w:val="Heading2"/>
        <w:numPr>
          <w:ilvl w:val="1"/>
          <w:numId w:val="11"/>
        </w:numPr>
        <w:spacing w:before="0"/>
        <w:ind w:left="709" w:hanging="709"/>
        <w:jc w:val="left"/>
        <w:rPr>
          <w:rFonts w:ascii="Arial" w:hAnsi="Arial" w:cs="Arial"/>
        </w:rPr>
      </w:pPr>
      <w:bookmarkStart w:id="5" w:name="_Toc275962265"/>
      <w:bookmarkStart w:id="6" w:name="_Toc276013241"/>
      <w:bookmarkStart w:id="7" w:name="_Toc179877381"/>
      <w:bookmarkStart w:id="8" w:name="_Toc311028790"/>
      <w:bookmarkStart w:id="9" w:name="_Toc311035330"/>
      <w:bookmarkStart w:id="10" w:name="_Toc311035888"/>
      <w:bookmarkStart w:id="11" w:name="_Toc313440275"/>
      <w:bookmarkStart w:id="12" w:name="_Toc313440710"/>
      <w:bookmarkStart w:id="13" w:name="_Toc313517402"/>
      <w:r w:rsidRPr="003D74ED">
        <w:rPr>
          <w:rFonts w:ascii="Arial" w:hAnsi="Arial" w:cs="Arial"/>
        </w:rPr>
        <w:t>Scope</w:t>
      </w:r>
      <w:bookmarkEnd w:id="5"/>
      <w:bookmarkEnd w:id="6"/>
      <w:bookmarkEnd w:id="7"/>
      <w:bookmarkEnd w:id="8"/>
      <w:bookmarkEnd w:id="9"/>
      <w:bookmarkEnd w:id="10"/>
      <w:bookmarkEnd w:id="11"/>
      <w:bookmarkEnd w:id="12"/>
      <w:bookmarkEnd w:id="13"/>
    </w:p>
    <w:p w:rsidR="000C1EB5" w:rsidRDefault="000C1EB5" w:rsidP="00243F5A">
      <w:pPr>
        <w:jc w:val="left"/>
        <w:rPr>
          <w:rFonts w:cs="Arial"/>
          <w:szCs w:val="22"/>
        </w:rPr>
      </w:pPr>
      <w:r w:rsidRPr="003D74ED">
        <w:rPr>
          <w:rFonts w:cs="Arial"/>
          <w:szCs w:val="22"/>
        </w:rPr>
        <w:t>This policy of the School of Health and Human Sciences applies to the complete range of educational provision without exception.</w:t>
      </w:r>
    </w:p>
    <w:p w:rsidR="00243F5A" w:rsidRPr="003D74ED" w:rsidRDefault="00243F5A" w:rsidP="00243F5A">
      <w:pPr>
        <w:jc w:val="left"/>
        <w:rPr>
          <w:rFonts w:cs="Arial"/>
          <w:szCs w:val="22"/>
        </w:rPr>
      </w:pPr>
    </w:p>
    <w:p w:rsidR="000C1EB5" w:rsidRPr="003D74ED" w:rsidRDefault="000C1EB5" w:rsidP="00243F5A">
      <w:pPr>
        <w:pStyle w:val="Heading3"/>
        <w:numPr>
          <w:ilvl w:val="1"/>
          <w:numId w:val="11"/>
        </w:numPr>
        <w:spacing w:before="0" w:after="0"/>
        <w:ind w:left="709" w:hanging="709"/>
        <w:jc w:val="left"/>
        <w:rPr>
          <w:rFonts w:ascii="Arial" w:hAnsi="Arial" w:cs="Arial"/>
          <w:szCs w:val="22"/>
        </w:rPr>
      </w:pPr>
      <w:bookmarkStart w:id="14" w:name="_Toc179877382"/>
      <w:bookmarkStart w:id="15" w:name="_Toc311028791"/>
      <w:bookmarkStart w:id="16" w:name="_Toc311035331"/>
      <w:bookmarkStart w:id="17" w:name="_Toc311035889"/>
      <w:bookmarkStart w:id="18" w:name="_Toc313440276"/>
      <w:bookmarkStart w:id="19" w:name="_Toc313440711"/>
      <w:bookmarkStart w:id="20" w:name="_Toc313517403"/>
      <w:r w:rsidRPr="003D74ED">
        <w:rPr>
          <w:rFonts w:ascii="Arial" w:hAnsi="Arial" w:cs="Arial"/>
          <w:szCs w:val="22"/>
        </w:rPr>
        <w:t>Introduction</w:t>
      </w:r>
      <w:bookmarkEnd w:id="14"/>
      <w:bookmarkEnd w:id="15"/>
      <w:bookmarkEnd w:id="16"/>
      <w:bookmarkEnd w:id="17"/>
      <w:bookmarkEnd w:id="18"/>
      <w:bookmarkEnd w:id="19"/>
      <w:bookmarkEnd w:id="20"/>
    </w:p>
    <w:p w:rsidR="000C1EB5" w:rsidRPr="003D74ED" w:rsidRDefault="000C1EB5" w:rsidP="00243F5A">
      <w:pPr>
        <w:jc w:val="left"/>
        <w:rPr>
          <w:rFonts w:cs="Arial"/>
          <w:b/>
          <w:bCs/>
          <w:szCs w:val="22"/>
        </w:rPr>
      </w:pPr>
      <w:r w:rsidRPr="003D74ED">
        <w:rPr>
          <w:rFonts w:cs="Arial"/>
          <w:b/>
          <w:bCs/>
          <w:szCs w:val="22"/>
        </w:rPr>
        <w:t xml:space="preserve">The maintenance, and management, of confidentiality is the responsibility of the individual student.  The student must seek guidance from their supervisor on the effective discharge of this responsibility. </w:t>
      </w:r>
    </w:p>
    <w:p w:rsidR="000C1EB5" w:rsidRPr="003D74ED" w:rsidRDefault="000C1EB5" w:rsidP="00243F5A">
      <w:pPr>
        <w:jc w:val="left"/>
        <w:rPr>
          <w:rFonts w:cs="Arial"/>
          <w:color w:val="FF0000"/>
          <w:szCs w:val="22"/>
        </w:rPr>
      </w:pPr>
    </w:p>
    <w:p w:rsidR="000C1EB5" w:rsidRDefault="000C1EB5" w:rsidP="00243F5A">
      <w:pPr>
        <w:jc w:val="left"/>
        <w:rPr>
          <w:rFonts w:cs="Arial"/>
          <w:szCs w:val="22"/>
        </w:rPr>
      </w:pPr>
      <w:r w:rsidRPr="003D74ED">
        <w:rPr>
          <w:rFonts w:cs="Arial"/>
          <w:szCs w:val="22"/>
        </w:rPr>
        <w:t xml:space="preserve">As a student of the School of Health and Human Sciences you will note that modules use different forms of assessment.  The common component of the assessment strategies is the requirement for you to present work that accurately portrays the environments in which you practice/seek to practice.  Consequently, information contained in submitted work is often detailed and specific.  In presenting work of a suitably high standard, you must be constantly aware of the necessity to maintain confidentiality for all concerned. </w:t>
      </w:r>
    </w:p>
    <w:p w:rsidR="00243F5A" w:rsidRPr="003D74ED" w:rsidRDefault="00243F5A" w:rsidP="00243F5A">
      <w:pPr>
        <w:jc w:val="left"/>
        <w:rPr>
          <w:rFonts w:cs="Arial"/>
          <w:szCs w:val="22"/>
        </w:rPr>
      </w:pPr>
    </w:p>
    <w:p w:rsidR="000C1EB5" w:rsidRPr="003D74ED" w:rsidRDefault="000C1EB5" w:rsidP="00243F5A">
      <w:pPr>
        <w:pStyle w:val="Heading3"/>
        <w:numPr>
          <w:ilvl w:val="1"/>
          <w:numId w:val="11"/>
        </w:numPr>
        <w:spacing w:before="0" w:after="0"/>
        <w:ind w:left="709" w:hanging="709"/>
        <w:jc w:val="left"/>
        <w:rPr>
          <w:rFonts w:ascii="Arial" w:hAnsi="Arial" w:cs="Arial"/>
          <w:szCs w:val="22"/>
        </w:rPr>
      </w:pPr>
      <w:bookmarkStart w:id="21" w:name="_Toc179877383"/>
      <w:bookmarkStart w:id="22" w:name="_Toc311028792"/>
      <w:bookmarkStart w:id="23" w:name="_Toc311035332"/>
      <w:bookmarkStart w:id="24" w:name="_Toc311035890"/>
      <w:bookmarkStart w:id="25" w:name="_Toc313440277"/>
      <w:bookmarkStart w:id="26" w:name="_Toc313440712"/>
      <w:bookmarkStart w:id="27" w:name="_Toc313517404"/>
      <w:r w:rsidRPr="003D74ED">
        <w:rPr>
          <w:rFonts w:ascii="Arial" w:hAnsi="Arial" w:cs="Arial"/>
          <w:szCs w:val="22"/>
        </w:rPr>
        <w:t>What can I include?</w:t>
      </w:r>
      <w:bookmarkEnd w:id="21"/>
      <w:bookmarkEnd w:id="22"/>
      <w:bookmarkEnd w:id="23"/>
      <w:bookmarkEnd w:id="24"/>
      <w:bookmarkEnd w:id="25"/>
      <w:bookmarkEnd w:id="26"/>
      <w:bookmarkEnd w:id="27"/>
    </w:p>
    <w:p w:rsidR="000C1EB5" w:rsidRPr="003D74ED" w:rsidRDefault="00243F5A" w:rsidP="00243F5A">
      <w:pPr>
        <w:pStyle w:val="Heading4"/>
        <w:numPr>
          <w:ilvl w:val="2"/>
          <w:numId w:val="11"/>
        </w:numPr>
        <w:spacing w:before="0" w:after="0"/>
        <w:ind w:left="709" w:hanging="709"/>
        <w:jc w:val="left"/>
        <w:rPr>
          <w:rFonts w:ascii="Arial" w:hAnsi="Arial" w:cs="Arial"/>
          <w:b w:val="0"/>
          <w:szCs w:val="22"/>
        </w:rPr>
      </w:pPr>
      <w:r>
        <w:rPr>
          <w:rFonts w:ascii="Arial" w:hAnsi="Arial" w:cs="Arial"/>
          <w:b w:val="0"/>
          <w:szCs w:val="22"/>
        </w:rPr>
        <w:t>Pseudonyms</w:t>
      </w:r>
      <w:r w:rsidR="000C1EB5" w:rsidRPr="003D74ED">
        <w:rPr>
          <w:rFonts w:ascii="Arial" w:hAnsi="Arial" w:cs="Arial"/>
          <w:b w:val="0"/>
          <w:szCs w:val="22"/>
        </w:rPr>
        <w:t xml:space="preserve"> </w:t>
      </w:r>
    </w:p>
    <w:p w:rsidR="000C1EB5" w:rsidRDefault="000C1EB5" w:rsidP="00243F5A">
      <w:pPr>
        <w:jc w:val="left"/>
        <w:rPr>
          <w:rFonts w:cs="Arial"/>
          <w:bCs/>
          <w:szCs w:val="22"/>
        </w:rPr>
      </w:pPr>
      <w:r w:rsidRPr="003D74ED">
        <w:rPr>
          <w:rFonts w:cs="Arial"/>
          <w:bCs/>
          <w:szCs w:val="22"/>
        </w:rPr>
        <w:t>We suggest that you use pseudonyms throughout; using ‘Patient X in Hospital Y’ does not aid the readability of your work.</w:t>
      </w:r>
    </w:p>
    <w:p w:rsidR="00243F5A" w:rsidRPr="003D74ED" w:rsidRDefault="00243F5A" w:rsidP="00243F5A">
      <w:pPr>
        <w:jc w:val="left"/>
        <w:rPr>
          <w:rFonts w:cs="Arial"/>
          <w:bCs/>
          <w:szCs w:val="22"/>
        </w:rPr>
      </w:pPr>
    </w:p>
    <w:p w:rsidR="000C1EB5" w:rsidRPr="003D74ED" w:rsidRDefault="000C1EB5" w:rsidP="00243F5A">
      <w:pPr>
        <w:numPr>
          <w:ilvl w:val="2"/>
          <w:numId w:val="11"/>
        </w:numPr>
        <w:ind w:left="709" w:hanging="709"/>
        <w:jc w:val="left"/>
        <w:rPr>
          <w:rFonts w:cs="Arial"/>
          <w:bCs/>
          <w:szCs w:val="22"/>
        </w:rPr>
      </w:pPr>
      <w:r w:rsidRPr="003D74ED">
        <w:rPr>
          <w:rFonts w:cs="Arial"/>
          <w:szCs w:val="22"/>
        </w:rPr>
        <w:t>Public information</w:t>
      </w:r>
    </w:p>
    <w:p w:rsidR="000C1EB5" w:rsidRPr="003D74ED" w:rsidRDefault="000C1EB5" w:rsidP="00243F5A">
      <w:pPr>
        <w:jc w:val="left"/>
        <w:rPr>
          <w:rFonts w:cs="Arial"/>
          <w:szCs w:val="22"/>
        </w:rPr>
      </w:pPr>
      <w:r w:rsidRPr="003D74ED">
        <w:rPr>
          <w:rFonts w:cs="Arial"/>
          <w:szCs w:val="22"/>
        </w:rPr>
        <w:t>As a general rule you may include any data that is already within the “public domain”.  This means any document that a Trust, Social Service Department or Organisation has made available to the general public.  Your line manager/mentor will be able to confirm whether this is the case for a specific document.</w:t>
      </w:r>
      <w:bookmarkStart w:id="28" w:name="_Toc179877384"/>
    </w:p>
    <w:p w:rsidR="000C1EB5" w:rsidRPr="003D74ED" w:rsidRDefault="000C1EB5" w:rsidP="00243F5A">
      <w:pPr>
        <w:jc w:val="left"/>
        <w:rPr>
          <w:rFonts w:cs="Arial"/>
          <w:szCs w:val="22"/>
        </w:rPr>
      </w:pPr>
    </w:p>
    <w:p w:rsidR="000C1EB5" w:rsidRPr="003D74ED" w:rsidRDefault="000C1EB5" w:rsidP="00243F5A">
      <w:pPr>
        <w:numPr>
          <w:ilvl w:val="1"/>
          <w:numId w:val="11"/>
        </w:numPr>
        <w:ind w:left="709" w:hanging="709"/>
        <w:jc w:val="left"/>
        <w:rPr>
          <w:rFonts w:cs="Arial"/>
          <w:b/>
          <w:szCs w:val="22"/>
        </w:rPr>
      </w:pPr>
      <w:r w:rsidRPr="003D74ED">
        <w:rPr>
          <w:rFonts w:cs="Arial"/>
          <w:b/>
          <w:szCs w:val="22"/>
        </w:rPr>
        <w:t>What must I not include?</w:t>
      </w:r>
      <w:bookmarkEnd w:id="28"/>
    </w:p>
    <w:p w:rsidR="000C1EB5" w:rsidRPr="003D74ED" w:rsidRDefault="000C1EB5" w:rsidP="00243F5A">
      <w:pPr>
        <w:jc w:val="left"/>
        <w:rPr>
          <w:rFonts w:cs="Arial"/>
          <w:szCs w:val="22"/>
        </w:rPr>
      </w:pPr>
      <w:r w:rsidRPr="003D74ED">
        <w:rPr>
          <w:rFonts w:cs="Arial"/>
          <w:szCs w:val="22"/>
        </w:rPr>
        <w:t xml:space="preserve">Any information that would breach confidentiality for service users, carers, staff, students or anyone else involved in the scenario that you are describing including the organisation. </w:t>
      </w:r>
    </w:p>
    <w:p w:rsidR="000C1EB5" w:rsidRPr="003D74ED" w:rsidRDefault="000C1EB5" w:rsidP="00243F5A">
      <w:pPr>
        <w:jc w:val="left"/>
        <w:rPr>
          <w:rFonts w:cs="Arial"/>
          <w:szCs w:val="22"/>
        </w:rPr>
      </w:pPr>
    </w:p>
    <w:p w:rsidR="000C1EB5" w:rsidRPr="003D74ED" w:rsidRDefault="000C1EB5" w:rsidP="00243F5A">
      <w:pPr>
        <w:numPr>
          <w:ilvl w:val="2"/>
          <w:numId w:val="11"/>
        </w:numPr>
        <w:ind w:left="709" w:hanging="709"/>
        <w:jc w:val="left"/>
        <w:rPr>
          <w:rFonts w:cs="Arial"/>
          <w:szCs w:val="22"/>
        </w:rPr>
      </w:pPr>
      <w:r w:rsidRPr="003D74ED">
        <w:rPr>
          <w:rFonts w:cs="Arial"/>
          <w:szCs w:val="22"/>
        </w:rPr>
        <w:t>For the service user, you must not include:</w:t>
      </w:r>
    </w:p>
    <w:p w:rsidR="000C1EB5" w:rsidRPr="003D74ED" w:rsidRDefault="000C1EB5" w:rsidP="00243F5A">
      <w:pPr>
        <w:numPr>
          <w:ilvl w:val="0"/>
          <w:numId w:val="12"/>
        </w:numPr>
        <w:contextualSpacing/>
        <w:jc w:val="left"/>
        <w:rPr>
          <w:rFonts w:cs="Arial"/>
          <w:szCs w:val="22"/>
        </w:rPr>
      </w:pPr>
      <w:r w:rsidRPr="003D74ED">
        <w:rPr>
          <w:rFonts w:cs="Arial"/>
          <w:szCs w:val="22"/>
        </w:rPr>
        <w:t>Any personal details from which the identity of a service user could be deduced</w:t>
      </w:r>
    </w:p>
    <w:p w:rsidR="000C1EB5" w:rsidRPr="003D74ED" w:rsidRDefault="000C1EB5" w:rsidP="00243F5A">
      <w:pPr>
        <w:numPr>
          <w:ilvl w:val="0"/>
          <w:numId w:val="12"/>
        </w:numPr>
        <w:contextualSpacing/>
        <w:jc w:val="left"/>
        <w:rPr>
          <w:rFonts w:cs="Arial"/>
          <w:szCs w:val="22"/>
        </w:rPr>
      </w:pPr>
      <w:r w:rsidRPr="003D74ED">
        <w:rPr>
          <w:rFonts w:cs="Arial"/>
          <w:szCs w:val="22"/>
        </w:rPr>
        <w:t>Any dates significant to a service user’s episode of care</w:t>
      </w:r>
    </w:p>
    <w:p w:rsidR="000C1EB5" w:rsidRPr="003D74ED" w:rsidRDefault="000C1EB5" w:rsidP="00243F5A">
      <w:pPr>
        <w:numPr>
          <w:ilvl w:val="0"/>
          <w:numId w:val="12"/>
        </w:numPr>
        <w:contextualSpacing/>
        <w:jc w:val="left"/>
        <w:rPr>
          <w:rFonts w:cs="Arial"/>
          <w:szCs w:val="22"/>
        </w:rPr>
      </w:pPr>
      <w:r w:rsidRPr="003D74ED">
        <w:rPr>
          <w:rFonts w:cs="Arial"/>
          <w:szCs w:val="22"/>
        </w:rPr>
        <w:t xml:space="preserve">Any specific location details of hospitals, clinics, services etc. relating to the service users episode of care </w:t>
      </w:r>
    </w:p>
    <w:p w:rsidR="000C1EB5" w:rsidRPr="003D74ED" w:rsidRDefault="000C1EB5" w:rsidP="00243F5A">
      <w:pPr>
        <w:contextualSpacing/>
        <w:jc w:val="left"/>
        <w:rPr>
          <w:rFonts w:cs="Arial"/>
          <w:szCs w:val="22"/>
        </w:rPr>
      </w:pPr>
    </w:p>
    <w:p w:rsidR="000C1EB5" w:rsidRPr="003D74ED" w:rsidRDefault="000C1EB5" w:rsidP="00243F5A">
      <w:pPr>
        <w:numPr>
          <w:ilvl w:val="2"/>
          <w:numId w:val="11"/>
        </w:numPr>
        <w:ind w:left="709" w:hanging="709"/>
        <w:contextualSpacing/>
        <w:jc w:val="left"/>
        <w:rPr>
          <w:rFonts w:cs="Arial"/>
          <w:szCs w:val="22"/>
        </w:rPr>
      </w:pPr>
      <w:r w:rsidRPr="003D74ED">
        <w:rPr>
          <w:rFonts w:cs="Arial"/>
          <w:szCs w:val="22"/>
        </w:rPr>
        <w:t>For colleagues, you must not include:</w:t>
      </w:r>
    </w:p>
    <w:p w:rsidR="000C1EB5" w:rsidRPr="003D74ED" w:rsidRDefault="000C1EB5" w:rsidP="00243F5A">
      <w:pPr>
        <w:numPr>
          <w:ilvl w:val="0"/>
          <w:numId w:val="13"/>
        </w:numPr>
        <w:contextualSpacing/>
        <w:jc w:val="left"/>
        <w:rPr>
          <w:rFonts w:cs="Arial"/>
          <w:szCs w:val="22"/>
        </w:rPr>
      </w:pPr>
      <w:r w:rsidRPr="003D74ED">
        <w:rPr>
          <w:rFonts w:cs="Arial"/>
          <w:szCs w:val="22"/>
        </w:rPr>
        <w:t>Any personal details from which the identity of staff mentioned in the work could be deduced</w:t>
      </w:r>
    </w:p>
    <w:p w:rsidR="000C1EB5" w:rsidRPr="003D74ED" w:rsidRDefault="000C1EB5" w:rsidP="00243F5A">
      <w:pPr>
        <w:numPr>
          <w:ilvl w:val="0"/>
          <w:numId w:val="13"/>
        </w:numPr>
        <w:contextualSpacing/>
        <w:jc w:val="left"/>
        <w:rPr>
          <w:rFonts w:cs="Arial"/>
          <w:szCs w:val="22"/>
        </w:rPr>
      </w:pPr>
      <w:r w:rsidRPr="003D74ED">
        <w:rPr>
          <w:rFonts w:cs="Arial"/>
          <w:szCs w:val="22"/>
        </w:rPr>
        <w:t xml:space="preserve">Any specific location details of hospitals, clinics, services etc. in which the staff are work </w:t>
      </w:r>
    </w:p>
    <w:p w:rsidR="000C1EB5" w:rsidRPr="003D74ED" w:rsidRDefault="000C1EB5" w:rsidP="00243F5A">
      <w:pPr>
        <w:contextualSpacing/>
        <w:jc w:val="left"/>
        <w:rPr>
          <w:rFonts w:cs="Arial"/>
          <w:szCs w:val="22"/>
        </w:rPr>
      </w:pPr>
    </w:p>
    <w:p w:rsidR="000C1EB5" w:rsidRPr="003D74ED" w:rsidRDefault="000C1EB5" w:rsidP="00243F5A">
      <w:pPr>
        <w:numPr>
          <w:ilvl w:val="2"/>
          <w:numId w:val="11"/>
        </w:numPr>
        <w:ind w:left="709" w:hanging="709"/>
        <w:contextualSpacing/>
        <w:jc w:val="left"/>
        <w:rPr>
          <w:rFonts w:cs="Arial"/>
          <w:szCs w:val="22"/>
        </w:rPr>
      </w:pPr>
      <w:r w:rsidRPr="003D74ED">
        <w:rPr>
          <w:rFonts w:cs="Arial"/>
          <w:szCs w:val="22"/>
        </w:rPr>
        <w:t>For provider organisations, you must not include:</w:t>
      </w:r>
    </w:p>
    <w:p w:rsidR="000C1EB5" w:rsidRPr="003D74ED" w:rsidRDefault="000C1EB5" w:rsidP="00243F5A">
      <w:pPr>
        <w:numPr>
          <w:ilvl w:val="0"/>
          <w:numId w:val="14"/>
        </w:numPr>
        <w:contextualSpacing/>
        <w:jc w:val="left"/>
        <w:rPr>
          <w:rFonts w:cs="Arial"/>
          <w:bCs/>
          <w:szCs w:val="22"/>
        </w:rPr>
      </w:pPr>
      <w:r w:rsidRPr="003D74ED">
        <w:rPr>
          <w:rFonts w:cs="Arial"/>
          <w:szCs w:val="22"/>
        </w:rPr>
        <w:t>The name of the Trust or organisation referred to in the work</w:t>
      </w:r>
    </w:p>
    <w:p w:rsidR="000C1EB5" w:rsidRPr="003D74ED" w:rsidRDefault="000C1EB5" w:rsidP="00243F5A">
      <w:pPr>
        <w:pStyle w:val="Heading3"/>
        <w:numPr>
          <w:ilvl w:val="1"/>
          <w:numId w:val="11"/>
        </w:numPr>
        <w:ind w:left="709" w:hanging="709"/>
        <w:jc w:val="left"/>
        <w:rPr>
          <w:rFonts w:ascii="Arial" w:hAnsi="Arial" w:cs="Arial"/>
          <w:szCs w:val="22"/>
        </w:rPr>
      </w:pPr>
      <w:bookmarkStart w:id="29" w:name="_Toc179877385"/>
      <w:bookmarkStart w:id="30" w:name="_Toc311028793"/>
      <w:bookmarkStart w:id="31" w:name="_Toc311035333"/>
      <w:bookmarkStart w:id="32" w:name="_Toc311035891"/>
      <w:bookmarkStart w:id="33" w:name="_Toc313440278"/>
      <w:bookmarkStart w:id="34" w:name="_Toc313440713"/>
      <w:bookmarkStart w:id="35" w:name="_Toc313517405"/>
      <w:r w:rsidRPr="003D74ED">
        <w:rPr>
          <w:rFonts w:ascii="Arial" w:hAnsi="Arial" w:cs="Arial"/>
          <w:szCs w:val="22"/>
        </w:rPr>
        <w:t>Specific Assessments</w:t>
      </w:r>
      <w:bookmarkEnd w:id="29"/>
      <w:bookmarkEnd w:id="30"/>
      <w:bookmarkEnd w:id="31"/>
      <w:bookmarkEnd w:id="32"/>
      <w:bookmarkEnd w:id="33"/>
      <w:bookmarkEnd w:id="34"/>
      <w:bookmarkEnd w:id="35"/>
    </w:p>
    <w:p w:rsidR="000C1EB5" w:rsidRPr="003D74ED" w:rsidRDefault="000C1EB5" w:rsidP="00243F5A">
      <w:pPr>
        <w:pStyle w:val="Heading4"/>
        <w:numPr>
          <w:ilvl w:val="2"/>
          <w:numId w:val="11"/>
        </w:numPr>
        <w:spacing w:before="0" w:after="0"/>
        <w:ind w:left="709" w:hanging="709"/>
        <w:jc w:val="left"/>
        <w:rPr>
          <w:rFonts w:ascii="Arial" w:hAnsi="Arial" w:cs="Arial"/>
          <w:b w:val="0"/>
          <w:szCs w:val="22"/>
        </w:rPr>
      </w:pPr>
      <w:r w:rsidRPr="003D74ED">
        <w:rPr>
          <w:rFonts w:ascii="Arial" w:hAnsi="Arial" w:cs="Arial"/>
          <w:b w:val="0"/>
          <w:szCs w:val="22"/>
        </w:rPr>
        <w:t>Portfolio</w:t>
      </w:r>
    </w:p>
    <w:p w:rsidR="000C1EB5" w:rsidRPr="003D74ED" w:rsidRDefault="000C1EB5" w:rsidP="00243F5A">
      <w:pPr>
        <w:jc w:val="left"/>
        <w:rPr>
          <w:rFonts w:cs="Arial"/>
          <w:vanish/>
          <w:szCs w:val="22"/>
        </w:rPr>
      </w:pPr>
      <w:r w:rsidRPr="003D74ED">
        <w:rPr>
          <w:rFonts w:cs="Arial"/>
          <w:bCs/>
          <w:szCs w:val="22"/>
        </w:rPr>
        <w:t xml:space="preserve">Where portfolios form part of the assessment it is the recommendation of the School of Health &amp; Human Sciences that you </w:t>
      </w:r>
      <w:r w:rsidRPr="00243F5A">
        <w:rPr>
          <w:rFonts w:cs="Arial"/>
          <w:b/>
          <w:bCs/>
          <w:szCs w:val="22"/>
        </w:rPr>
        <w:t>do not submit</w:t>
      </w:r>
      <w:r w:rsidRPr="003D74ED">
        <w:rPr>
          <w:rFonts w:cs="Arial"/>
          <w:bCs/>
          <w:szCs w:val="22"/>
        </w:rPr>
        <w:t xml:space="preserve"> reflective diaries maintained throughout your period of studies as part of your portfolio evidence.  The exception to this is where your module leader specifically requests such a document.  In such circumstances you will be given information as to how confidentiality will be maintained.</w:t>
      </w:r>
    </w:p>
    <w:p w:rsidR="000C1EB5" w:rsidRPr="003D74ED" w:rsidRDefault="000C1EB5" w:rsidP="00243F5A">
      <w:pPr>
        <w:numPr>
          <w:ilvl w:val="1"/>
          <w:numId w:val="10"/>
        </w:numPr>
        <w:jc w:val="left"/>
        <w:rPr>
          <w:rFonts w:cs="Arial"/>
          <w:vanish/>
          <w:szCs w:val="22"/>
        </w:rPr>
      </w:pPr>
    </w:p>
    <w:p w:rsidR="000C1EB5" w:rsidRPr="003D74ED" w:rsidRDefault="000C1EB5" w:rsidP="00243F5A">
      <w:pPr>
        <w:numPr>
          <w:ilvl w:val="1"/>
          <w:numId w:val="10"/>
        </w:numPr>
        <w:jc w:val="left"/>
        <w:rPr>
          <w:rFonts w:cs="Arial"/>
          <w:vanish/>
          <w:szCs w:val="22"/>
        </w:rPr>
      </w:pPr>
    </w:p>
    <w:p w:rsidR="000C1EB5" w:rsidRPr="003D74ED" w:rsidRDefault="000C1EB5" w:rsidP="00243F5A">
      <w:pPr>
        <w:numPr>
          <w:ilvl w:val="1"/>
          <w:numId w:val="10"/>
        </w:numPr>
        <w:jc w:val="left"/>
        <w:rPr>
          <w:rFonts w:cs="Arial"/>
          <w:vanish/>
          <w:szCs w:val="22"/>
        </w:rPr>
      </w:pPr>
    </w:p>
    <w:p w:rsidR="000C1EB5" w:rsidRPr="003D74ED" w:rsidRDefault="000C1EB5" w:rsidP="00243F5A">
      <w:pPr>
        <w:numPr>
          <w:ilvl w:val="1"/>
          <w:numId w:val="10"/>
        </w:numPr>
        <w:jc w:val="left"/>
        <w:rPr>
          <w:rFonts w:cs="Arial"/>
          <w:vanish/>
          <w:szCs w:val="22"/>
        </w:rPr>
      </w:pPr>
    </w:p>
    <w:p w:rsidR="000C1EB5" w:rsidRPr="003D74ED" w:rsidRDefault="000C1EB5" w:rsidP="00243F5A">
      <w:pPr>
        <w:numPr>
          <w:ilvl w:val="2"/>
          <w:numId w:val="10"/>
        </w:numPr>
        <w:jc w:val="left"/>
        <w:rPr>
          <w:rFonts w:cs="Arial"/>
          <w:vanish/>
          <w:szCs w:val="22"/>
        </w:rPr>
      </w:pPr>
    </w:p>
    <w:p w:rsidR="000C1EB5" w:rsidRPr="003D74ED" w:rsidRDefault="000C1EB5" w:rsidP="00243F5A">
      <w:pPr>
        <w:jc w:val="left"/>
        <w:rPr>
          <w:rFonts w:cs="Arial"/>
          <w:szCs w:val="22"/>
        </w:rPr>
      </w:pPr>
      <w:r w:rsidRPr="003D74ED">
        <w:rPr>
          <w:rFonts w:cs="Arial"/>
          <w:szCs w:val="22"/>
        </w:rPr>
        <w:t xml:space="preserve"> </w:t>
      </w:r>
    </w:p>
    <w:p w:rsidR="00243F5A" w:rsidRDefault="00243F5A" w:rsidP="00243F5A">
      <w:pPr>
        <w:jc w:val="left"/>
        <w:rPr>
          <w:rFonts w:cs="Arial"/>
          <w:szCs w:val="22"/>
        </w:rPr>
      </w:pPr>
    </w:p>
    <w:p w:rsidR="00243F5A" w:rsidRDefault="00243F5A" w:rsidP="00243F5A">
      <w:pPr>
        <w:jc w:val="left"/>
        <w:rPr>
          <w:rFonts w:cs="Arial"/>
          <w:szCs w:val="22"/>
        </w:rPr>
      </w:pPr>
    </w:p>
    <w:p w:rsidR="00243F5A" w:rsidRPr="003D74ED" w:rsidRDefault="00243F5A" w:rsidP="00243F5A">
      <w:pPr>
        <w:jc w:val="left"/>
        <w:rPr>
          <w:rFonts w:cs="Arial"/>
          <w:szCs w:val="22"/>
        </w:rPr>
      </w:pPr>
      <w:bookmarkStart w:id="36" w:name="_GoBack"/>
      <w:bookmarkEnd w:id="36"/>
    </w:p>
    <w:p w:rsidR="000C1EB5" w:rsidRPr="003D74ED" w:rsidRDefault="000C1EB5" w:rsidP="00243F5A">
      <w:pPr>
        <w:ind w:left="709" w:hanging="709"/>
        <w:jc w:val="left"/>
        <w:rPr>
          <w:rFonts w:cs="Arial"/>
          <w:szCs w:val="22"/>
        </w:rPr>
      </w:pPr>
      <w:r w:rsidRPr="003D74ED">
        <w:rPr>
          <w:rFonts w:cs="Arial"/>
          <w:szCs w:val="22"/>
        </w:rPr>
        <w:lastRenderedPageBreak/>
        <w:t xml:space="preserve">1.5.2. </w:t>
      </w:r>
      <w:r w:rsidR="00243F5A">
        <w:rPr>
          <w:rFonts w:cs="Arial"/>
          <w:szCs w:val="22"/>
        </w:rPr>
        <w:tab/>
      </w:r>
      <w:r w:rsidRPr="003D74ED">
        <w:rPr>
          <w:rFonts w:cs="Arial"/>
        </w:rPr>
        <w:t>Extended Projects</w:t>
      </w:r>
    </w:p>
    <w:p w:rsidR="000C1EB5" w:rsidRDefault="000C1EB5" w:rsidP="00243F5A">
      <w:pPr>
        <w:jc w:val="left"/>
        <w:rPr>
          <w:rFonts w:cs="Arial"/>
          <w:bCs/>
          <w:szCs w:val="22"/>
        </w:rPr>
      </w:pPr>
      <w:r w:rsidRPr="003D74ED">
        <w:rPr>
          <w:rFonts w:cs="Arial"/>
          <w:bCs/>
          <w:szCs w:val="22"/>
        </w:rPr>
        <w:t>Some modules require students to undertake long term projects of specific work from which the relevant Trust may be perceived as identifiable.  Regardless of this, the student remains responsible for presenting work that protects the confidentiality of those concerned.  The student should consult and seek guidance from his/her supervisor if he/she is unclear about how to maintain confidentiality.</w:t>
      </w:r>
    </w:p>
    <w:p w:rsidR="00243F5A" w:rsidRPr="003D74ED" w:rsidRDefault="00243F5A" w:rsidP="00243F5A">
      <w:pPr>
        <w:jc w:val="left"/>
        <w:rPr>
          <w:rFonts w:cs="Arial"/>
          <w:bCs/>
          <w:szCs w:val="22"/>
        </w:rPr>
      </w:pPr>
    </w:p>
    <w:p w:rsidR="000C1EB5" w:rsidRPr="003D74ED" w:rsidRDefault="000C1EB5" w:rsidP="00243F5A">
      <w:pPr>
        <w:keepNext/>
        <w:numPr>
          <w:ilvl w:val="2"/>
          <w:numId w:val="11"/>
        </w:numPr>
        <w:spacing w:before="240" w:after="60"/>
        <w:jc w:val="left"/>
        <w:outlineLvl w:val="2"/>
        <w:rPr>
          <w:rFonts w:cs="Arial"/>
          <w:b/>
          <w:bCs/>
          <w:vanish/>
          <w:sz w:val="22"/>
          <w:szCs w:val="26"/>
        </w:rPr>
      </w:pPr>
      <w:bookmarkStart w:id="37" w:name="_Toc311028794"/>
      <w:bookmarkStart w:id="38" w:name="_Toc311035334"/>
      <w:bookmarkStart w:id="39" w:name="_Toc311035892"/>
      <w:bookmarkStart w:id="40" w:name="_Toc313440143"/>
      <w:bookmarkStart w:id="41" w:name="_Toc313440279"/>
      <w:bookmarkStart w:id="42" w:name="_Toc313440714"/>
      <w:bookmarkStart w:id="43" w:name="_Toc313517406"/>
      <w:bookmarkEnd w:id="37"/>
      <w:bookmarkEnd w:id="38"/>
      <w:bookmarkEnd w:id="39"/>
      <w:bookmarkEnd w:id="40"/>
      <w:bookmarkEnd w:id="41"/>
      <w:bookmarkEnd w:id="42"/>
      <w:bookmarkEnd w:id="43"/>
    </w:p>
    <w:p w:rsidR="000C1EB5" w:rsidRPr="00243F5A" w:rsidRDefault="000C1EB5" w:rsidP="00243F5A">
      <w:pPr>
        <w:pStyle w:val="Heading3"/>
        <w:numPr>
          <w:ilvl w:val="2"/>
          <w:numId w:val="11"/>
        </w:numPr>
        <w:spacing w:before="0" w:after="0"/>
        <w:ind w:left="709" w:hanging="709"/>
        <w:jc w:val="left"/>
        <w:rPr>
          <w:rFonts w:ascii="Arial" w:hAnsi="Arial" w:cs="Arial"/>
          <w:b w:val="0"/>
          <w:sz w:val="20"/>
          <w:szCs w:val="20"/>
        </w:rPr>
      </w:pPr>
      <w:bookmarkStart w:id="44" w:name="_Toc311028795"/>
      <w:bookmarkStart w:id="45" w:name="_Toc311035335"/>
      <w:bookmarkStart w:id="46" w:name="_Toc311035893"/>
      <w:bookmarkStart w:id="47" w:name="_Toc313440280"/>
      <w:bookmarkStart w:id="48" w:name="_Toc313440715"/>
      <w:bookmarkStart w:id="49" w:name="_Toc313517407"/>
      <w:r w:rsidRPr="00243F5A">
        <w:rPr>
          <w:rFonts w:ascii="Arial" w:hAnsi="Arial" w:cs="Arial"/>
          <w:b w:val="0"/>
          <w:sz w:val="20"/>
          <w:szCs w:val="20"/>
        </w:rPr>
        <w:t>Dissertations</w:t>
      </w:r>
      <w:bookmarkEnd w:id="44"/>
      <w:bookmarkEnd w:id="45"/>
      <w:bookmarkEnd w:id="46"/>
      <w:bookmarkEnd w:id="47"/>
      <w:bookmarkEnd w:id="48"/>
      <w:bookmarkEnd w:id="49"/>
    </w:p>
    <w:p w:rsidR="000C1EB5" w:rsidRPr="003D74ED" w:rsidRDefault="000C1EB5" w:rsidP="00243F5A">
      <w:pPr>
        <w:jc w:val="left"/>
        <w:rPr>
          <w:rFonts w:cs="Arial"/>
          <w:bCs/>
          <w:szCs w:val="22"/>
        </w:rPr>
      </w:pPr>
      <w:r w:rsidRPr="003D74ED">
        <w:rPr>
          <w:rFonts w:cs="Arial"/>
          <w:bCs/>
          <w:szCs w:val="22"/>
        </w:rPr>
        <w:t>Dissertations require students to undertake specific work from which the relevant Trust may be perceived as identifiable.  Regardless of this, the student remains responsible for presenting work that protects the confidentiality of those concerned.  The student should consult and seek guidance from his/her supervisor if he/she is unclear about how to maintain confidentiality.</w:t>
      </w:r>
    </w:p>
    <w:p w:rsidR="000C1EB5" w:rsidRPr="003D74ED" w:rsidRDefault="000C1EB5" w:rsidP="00243F5A">
      <w:pPr>
        <w:jc w:val="left"/>
        <w:rPr>
          <w:rFonts w:cs="Arial"/>
          <w:bCs/>
          <w:szCs w:val="22"/>
        </w:rPr>
      </w:pPr>
    </w:p>
    <w:p w:rsidR="000C1EB5" w:rsidRPr="003D74ED" w:rsidRDefault="000C1EB5" w:rsidP="00243F5A">
      <w:pPr>
        <w:numPr>
          <w:ilvl w:val="1"/>
          <w:numId w:val="11"/>
        </w:numPr>
        <w:ind w:left="709" w:hanging="709"/>
        <w:jc w:val="left"/>
        <w:rPr>
          <w:rFonts w:cs="Arial"/>
          <w:b/>
          <w:bCs/>
          <w:szCs w:val="22"/>
        </w:rPr>
      </w:pPr>
      <w:r w:rsidRPr="003D74ED">
        <w:rPr>
          <w:rFonts w:cs="Arial"/>
          <w:b/>
          <w:szCs w:val="22"/>
        </w:rPr>
        <w:t>Using multimedia recording</w:t>
      </w:r>
    </w:p>
    <w:p w:rsidR="000C1EB5" w:rsidRPr="003D74ED" w:rsidRDefault="000C1EB5" w:rsidP="00243F5A">
      <w:pPr>
        <w:jc w:val="left"/>
        <w:rPr>
          <w:rFonts w:cs="Arial"/>
          <w:bCs/>
          <w:szCs w:val="22"/>
        </w:rPr>
      </w:pPr>
      <w:r w:rsidRPr="003D74ED">
        <w:rPr>
          <w:rFonts w:cs="Arial"/>
          <w:bCs/>
          <w:szCs w:val="22"/>
        </w:rPr>
        <w:t xml:space="preserve">There are some instances where you may feel that it is essential to include an audiovisual record in your work.  The following procedures can support such an audiovisual record, but must first be explored with your supervisor. </w:t>
      </w:r>
    </w:p>
    <w:p w:rsidR="000C1EB5" w:rsidRPr="003D74ED" w:rsidRDefault="000C1EB5" w:rsidP="00243F5A">
      <w:pPr>
        <w:jc w:val="left"/>
        <w:rPr>
          <w:rFonts w:cs="Arial"/>
          <w:szCs w:val="22"/>
        </w:rPr>
      </w:pPr>
      <w:r w:rsidRPr="003D74ED">
        <w:rPr>
          <w:rFonts w:cs="Arial"/>
          <w:szCs w:val="22"/>
        </w:rPr>
        <w:t xml:space="preserve">Where you wish to include </w:t>
      </w:r>
      <w:r w:rsidRPr="003D74ED">
        <w:rPr>
          <w:rFonts w:cs="Arial"/>
          <w:bCs/>
          <w:szCs w:val="22"/>
        </w:rPr>
        <w:t>audiovisual record</w:t>
      </w:r>
      <w:r w:rsidRPr="003D74ED">
        <w:rPr>
          <w:rFonts w:cs="Arial"/>
          <w:szCs w:val="22"/>
        </w:rPr>
        <w:t>, photographs etc. of an episode of care, which will inevitably compromise confidentiality, the following points must be addressed.</w:t>
      </w:r>
    </w:p>
    <w:p w:rsidR="000C1EB5" w:rsidRPr="003D74ED" w:rsidRDefault="000C1EB5" w:rsidP="00243F5A">
      <w:pPr>
        <w:numPr>
          <w:ilvl w:val="0"/>
          <w:numId w:val="15"/>
        </w:numPr>
        <w:tabs>
          <w:tab w:val="clear" w:pos="295"/>
          <w:tab w:val="num" w:pos="284"/>
        </w:tabs>
        <w:ind w:left="284" w:hanging="284"/>
        <w:jc w:val="left"/>
        <w:rPr>
          <w:rFonts w:cs="Arial"/>
          <w:szCs w:val="22"/>
        </w:rPr>
      </w:pPr>
      <w:r w:rsidRPr="003D74ED">
        <w:rPr>
          <w:rFonts w:cs="Arial"/>
          <w:szCs w:val="22"/>
        </w:rPr>
        <w:t xml:space="preserve">The student must obtain written consent from the module leader if this form of evidence is to be included. </w:t>
      </w:r>
    </w:p>
    <w:p w:rsidR="000C1EB5" w:rsidRPr="003D74ED" w:rsidRDefault="000C1EB5" w:rsidP="00243F5A">
      <w:pPr>
        <w:numPr>
          <w:ilvl w:val="0"/>
          <w:numId w:val="15"/>
        </w:numPr>
        <w:tabs>
          <w:tab w:val="clear" w:pos="295"/>
          <w:tab w:val="num" w:pos="284"/>
        </w:tabs>
        <w:ind w:left="284" w:hanging="284"/>
        <w:jc w:val="left"/>
        <w:rPr>
          <w:rFonts w:cs="Arial"/>
          <w:szCs w:val="22"/>
        </w:rPr>
      </w:pPr>
      <w:r w:rsidRPr="003D74ED">
        <w:rPr>
          <w:rFonts w:cs="Arial"/>
          <w:szCs w:val="22"/>
        </w:rPr>
        <w:t xml:space="preserve">The student must confirm with his/her line manager whether an organisation policy on the use of educational videotape, or similar, currently exists.  </w:t>
      </w:r>
    </w:p>
    <w:p w:rsidR="000C1EB5" w:rsidRPr="003D74ED" w:rsidRDefault="000C1EB5" w:rsidP="00243F5A">
      <w:pPr>
        <w:numPr>
          <w:ilvl w:val="0"/>
          <w:numId w:val="15"/>
        </w:numPr>
        <w:tabs>
          <w:tab w:val="clear" w:pos="295"/>
          <w:tab w:val="num" w:pos="284"/>
        </w:tabs>
        <w:ind w:left="284" w:hanging="284"/>
        <w:jc w:val="left"/>
        <w:rPr>
          <w:rFonts w:cs="Arial"/>
          <w:szCs w:val="22"/>
        </w:rPr>
      </w:pPr>
      <w:r w:rsidRPr="003D74ED">
        <w:rPr>
          <w:rFonts w:cs="Arial"/>
          <w:szCs w:val="22"/>
        </w:rPr>
        <w:t>The student must seek written consent from each service user/participant involved.  If the employing organisation has a Medical Illustration Department, this department will provide a pro forma consent form.</w:t>
      </w:r>
    </w:p>
    <w:p w:rsidR="000C1EB5" w:rsidRPr="003D74ED" w:rsidRDefault="000C1EB5" w:rsidP="00243F5A">
      <w:pPr>
        <w:numPr>
          <w:ilvl w:val="0"/>
          <w:numId w:val="15"/>
        </w:numPr>
        <w:tabs>
          <w:tab w:val="clear" w:pos="295"/>
          <w:tab w:val="num" w:pos="284"/>
        </w:tabs>
        <w:ind w:left="284" w:hanging="284"/>
        <w:jc w:val="left"/>
        <w:rPr>
          <w:rFonts w:cs="Arial"/>
          <w:b/>
          <w:szCs w:val="22"/>
        </w:rPr>
      </w:pPr>
      <w:r w:rsidRPr="003D74ED">
        <w:rPr>
          <w:rFonts w:cs="Arial"/>
          <w:szCs w:val="22"/>
        </w:rPr>
        <w:t xml:space="preserve">The completed consent forms must be provided to the student’s line manager.  The line manager will write a statement to the effect that they have seen the consent form and approve of the evidence being included in the portfolio.  </w:t>
      </w:r>
      <w:r w:rsidRPr="003D74ED">
        <w:rPr>
          <w:rFonts w:cs="Arial"/>
          <w:b/>
          <w:szCs w:val="22"/>
        </w:rPr>
        <w:t>The completed consent forms must not be included in the portfolio.</w:t>
      </w:r>
    </w:p>
    <w:p w:rsidR="000C1EB5" w:rsidRPr="003D74ED" w:rsidRDefault="000C1EB5" w:rsidP="00243F5A">
      <w:pPr>
        <w:jc w:val="left"/>
        <w:rPr>
          <w:rFonts w:cs="Arial"/>
          <w:b/>
          <w:szCs w:val="22"/>
        </w:rPr>
      </w:pPr>
    </w:p>
    <w:p w:rsidR="000C1EB5" w:rsidRPr="003D74ED" w:rsidRDefault="000C1EB5" w:rsidP="00243F5A">
      <w:pPr>
        <w:numPr>
          <w:ilvl w:val="1"/>
          <w:numId w:val="11"/>
        </w:numPr>
        <w:ind w:left="709" w:hanging="709"/>
        <w:jc w:val="left"/>
        <w:rPr>
          <w:rFonts w:cs="Arial"/>
          <w:b/>
          <w:szCs w:val="22"/>
        </w:rPr>
      </w:pPr>
      <w:r w:rsidRPr="003D74ED">
        <w:rPr>
          <w:rFonts w:cs="Arial"/>
          <w:b/>
          <w:szCs w:val="22"/>
        </w:rPr>
        <w:t xml:space="preserve">Consent of colleagues </w:t>
      </w:r>
    </w:p>
    <w:p w:rsidR="000C1EB5" w:rsidRPr="003D74ED" w:rsidRDefault="000C1EB5" w:rsidP="00243F5A">
      <w:pPr>
        <w:jc w:val="left"/>
        <w:rPr>
          <w:rFonts w:cs="Arial"/>
          <w:szCs w:val="22"/>
        </w:rPr>
      </w:pPr>
      <w:r w:rsidRPr="003D74ED">
        <w:rPr>
          <w:rFonts w:cs="Arial"/>
          <w:szCs w:val="22"/>
        </w:rPr>
        <w:t xml:space="preserve">Colleagues have the same rights to confidentiality as service users.  Where details by which colleagues may be identified are included in the work the student is obliged to seek consent and provide written evidence of such within the portfolio.  </w:t>
      </w:r>
    </w:p>
    <w:p w:rsidR="000C1EB5" w:rsidRPr="003D74ED" w:rsidRDefault="000C1EB5" w:rsidP="00243F5A">
      <w:pPr>
        <w:numPr>
          <w:ilvl w:val="0"/>
          <w:numId w:val="16"/>
        </w:numPr>
        <w:tabs>
          <w:tab w:val="clear" w:pos="295"/>
          <w:tab w:val="num" w:pos="284"/>
        </w:tabs>
        <w:ind w:left="284" w:hanging="284"/>
        <w:jc w:val="left"/>
        <w:rPr>
          <w:rFonts w:cs="Arial"/>
          <w:szCs w:val="22"/>
        </w:rPr>
      </w:pPr>
      <w:r w:rsidRPr="003D74ED">
        <w:rPr>
          <w:rFonts w:cs="Arial"/>
          <w:szCs w:val="22"/>
        </w:rPr>
        <w:t xml:space="preserve">The student must obtain written consent from the module leader if this form of evidence is to be included. </w:t>
      </w:r>
    </w:p>
    <w:p w:rsidR="000C1EB5" w:rsidRPr="003D74ED" w:rsidRDefault="000C1EB5" w:rsidP="00243F5A">
      <w:pPr>
        <w:numPr>
          <w:ilvl w:val="0"/>
          <w:numId w:val="16"/>
        </w:numPr>
        <w:tabs>
          <w:tab w:val="clear" w:pos="295"/>
          <w:tab w:val="num" w:pos="284"/>
        </w:tabs>
        <w:ind w:left="284" w:hanging="284"/>
        <w:jc w:val="left"/>
        <w:rPr>
          <w:rFonts w:cs="Arial"/>
          <w:szCs w:val="22"/>
        </w:rPr>
      </w:pPr>
      <w:r w:rsidRPr="003D74ED">
        <w:rPr>
          <w:rFonts w:cs="Arial"/>
          <w:szCs w:val="22"/>
        </w:rPr>
        <w:t>The student must seek written consent from each colleague involved.</w:t>
      </w:r>
    </w:p>
    <w:p w:rsidR="000C1EB5" w:rsidRPr="003D74ED" w:rsidRDefault="000C1EB5" w:rsidP="00243F5A">
      <w:pPr>
        <w:numPr>
          <w:ilvl w:val="0"/>
          <w:numId w:val="16"/>
        </w:numPr>
        <w:tabs>
          <w:tab w:val="clear" w:pos="295"/>
          <w:tab w:val="num" w:pos="284"/>
        </w:tabs>
        <w:ind w:left="284" w:hanging="284"/>
        <w:jc w:val="left"/>
        <w:rPr>
          <w:rFonts w:cs="Arial"/>
          <w:szCs w:val="22"/>
        </w:rPr>
      </w:pPr>
      <w:r w:rsidRPr="003D74ED">
        <w:rPr>
          <w:rFonts w:cs="Arial"/>
          <w:szCs w:val="22"/>
        </w:rPr>
        <w:t>The completed consent forms must be provided to the student’s line manager.  The line manager will write a statement to the effect that they have seen the consent form and approve of the evidence being included in the portfolio.  The completed consent forms must not be included in the portfolio.</w:t>
      </w:r>
      <w:bookmarkStart w:id="50" w:name="_Toc179877386"/>
    </w:p>
    <w:p w:rsidR="000C1EB5" w:rsidRPr="003D74ED" w:rsidRDefault="000C1EB5" w:rsidP="00243F5A">
      <w:pPr>
        <w:jc w:val="left"/>
        <w:rPr>
          <w:rFonts w:cs="Arial"/>
          <w:szCs w:val="22"/>
        </w:rPr>
      </w:pPr>
    </w:p>
    <w:p w:rsidR="000C1EB5" w:rsidRPr="003D74ED" w:rsidRDefault="000C1EB5" w:rsidP="00243F5A">
      <w:pPr>
        <w:numPr>
          <w:ilvl w:val="1"/>
          <w:numId w:val="11"/>
        </w:numPr>
        <w:ind w:left="709" w:hanging="709"/>
        <w:jc w:val="left"/>
        <w:rPr>
          <w:rFonts w:cs="Arial"/>
          <w:b/>
          <w:szCs w:val="22"/>
        </w:rPr>
      </w:pPr>
      <w:r w:rsidRPr="003D74ED">
        <w:rPr>
          <w:rFonts w:cs="Arial"/>
          <w:b/>
          <w:szCs w:val="22"/>
        </w:rPr>
        <w:t>Commercially sensitive material</w:t>
      </w:r>
      <w:bookmarkEnd w:id="50"/>
    </w:p>
    <w:p w:rsidR="000C1EB5" w:rsidRPr="003D74ED" w:rsidRDefault="000C1EB5" w:rsidP="00243F5A">
      <w:pPr>
        <w:jc w:val="left"/>
        <w:rPr>
          <w:rFonts w:cs="Arial"/>
          <w:szCs w:val="22"/>
        </w:rPr>
      </w:pPr>
      <w:r w:rsidRPr="003D74ED">
        <w:rPr>
          <w:rFonts w:cs="Arial"/>
          <w:szCs w:val="22"/>
        </w:rPr>
        <w:t xml:space="preserve">Confidentiality may extend beyond people involved in a caring environment to </w:t>
      </w:r>
      <w:r w:rsidRPr="003D74ED">
        <w:rPr>
          <w:rFonts w:cs="Arial"/>
          <w:b/>
          <w:szCs w:val="22"/>
        </w:rPr>
        <w:t>products</w:t>
      </w:r>
      <w:r w:rsidRPr="003D74ED">
        <w:rPr>
          <w:rFonts w:cs="Arial"/>
          <w:szCs w:val="22"/>
        </w:rPr>
        <w:t xml:space="preserve"> of, and </w:t>
      </w:r>
      <w:r w:rsidRPr="003D74ED">
        <w:rPr>
          <w:rFonts w:cs="Arial"/>
          <w:b/>
          <w:szCs w:val="22"/>
        </w:rPr>
        <w:t>information</w:t>
      </w:r>
      <w:r w:rsidRPr="003D74ED">
        <w:rPr>
          <w:rFonts w:cs="Arial"/>
          <w:szCs w:val="22"/>
        </w:rPr>
        <w:t xml:space="preserve"> concerning, employing organisations.  Products and information may be commercially sensitive and each student must consider his/her responsibilities in relation to s</w:t>
      </w:r>
      <w:r w:rsidR="00243F5A">
        <w:rPr>
          <w:rFonts w:cs="Arial"/>
          <w:szCs w:val="22"/>
        </w:rPr>
        <w:t xml:space="preserve">uch items.  A trainee’s </w:t>
      </w:r>
      <w:r w:rsidRPr="003D74ED">
        <w:rPr>
          <w:rFonts w:cs="Arial"/>
          <w:szCs w:val="22"/>
        </w:rPr>
        <w:t>judgement on such confidentiality issues should be based upon systematic reflection on his/her role as:</w:t>
      </w:r>
    </w:p>
    <w:p w:rsidR="000C1EB5" w:rsidRPr="003D74ED" w:rsidRDefault="000C1EB5" w:rsidP="00243F5A">
      <w:pPr>
        <w:numPr>
          <w:ilvl w:val="0"/>
          <w:numId w:val="17"/>
        </w:numPr>
        <w:jc w:val="left"/>
        <w:rPr>
          <w:rFonts w:cs="Arial"/>
          <w:szCs w:val="22"/>
        </w:rPr>
      </w:pPr>
      <w:r w:rsidRPr="003D74ED">
        <w:rPr>
          <w:rFonts w:cs="Arial"/>
          <w:szCs w:val="22"/>
        </w:rPr>
        <w:t>Student of the University</w:t>
      </w:r>
    </w:p>
    <w:p w:rsidR="000C1EB5" w:rsidRPr="003D74ED" w:rsidRDefault="000C1EB5" w:rsidP="00243F5A">
      <w:pPr>
        <w:numPr>
          <w:ilvl w:val="0"/>
          <w:numId w:val="17"/>
        </w:numPr>
        <w:jc w:val="left"/>
        <w:rPr>
          <w:rFonts w:cs="Arial"/>
          <w:szCs w:val="22"/>
        </w:rPr>
      </w:pPr>
      <w:r w:rsidRPr="003D74ED">
        <w:rPr>
          <w:rFonts w:cs="Arial"/>
          <w:szCs w:val="22"/>
        </w:rPr>
        <w:t>Professional practitioner</w:t>
      </w:r>
    </w:p>
    <w:p w:rsidR="000C1EB5" w:rsidRPr="003D74ED" w:rsidRDefault="000C1EB5" w:rsidP="00243F5A">
      <w:pPr>
        <w:numPr>
          <w:ilvl w:val="0"/>
          <w:numId w:val="17"/>
        </w:numPr>
        <w:jc w:val="left"/>
        <w:rPr>
          <w:rFonts w:cs="Arial"/>
          <w:szCs w:val="22"/>
        </w:rPr>
      </w:pPr>
      <w:r w:rsidRPr="003D74ED">
        <w:rPr>
          <w:rFonts w:cs="Arial"/>
          <w:szCs w:val="22"/>
        </w:rPr>
        <w:t>Organisation employee</w:t>
      </w:r>
    </w:p>
    <w:p w:rsidR="000C1EB5" w:rsidRPr="003D74ED" w:rsidRDefault="000C1EB5" w:rsidP="00243F5A">
      <w:pPr>
        <w:jc w:val="left"/>
        <w:rPr>
          <w:rFonts w:cs="Arial"/>
          <w:color w:val="FF0000"/>
          <w:szCs w:val="22"/>
        </w:rPr>
      </w:pPr>
    </w:p>
    <w:p w:rsidR="000C1EB5" w:rsidRPr="003D74ED" w:rsidRDefault="000C1EB5" w:rsidP="00243F5A">
      <w:pPr>
        <w:jc w:val="left"/>
        <w:rPr>
          <w:rFonts w:cs="Arial"/>
          <w:szCs w:val="22"/>
        </w:rPr>
      </w:pPr>
      <w:r w:rsidRPr="003D74ED">
        <w:rPr>
          <w:rFonts w:cs="Arial"/>
          <w:szCs w:val="22"/>
        </w:rPr>
        <w:t>If a student is concerned about inclusion of material that may be commercially sensitive (e.g. information concerning the organisation that is not already in the public domain) he/she should seek guidance from his/her academic supervisor and/or line manager.</w:t>
      </w:r>
      <w:bookmarkStart w:id="51" w:name="_Toc179877387"/>
    </w:p>
    <w:p w:rsidR="000C1EB5" w:rsidRPr="003D74ED" w:rsidRDefault="000C1EB5" w:rsidP="00243F5A">
      <w:pPr>
        <w:jc w:val="left"/>
        <w:rPr>
          <w:rFonts w:cs="Arial"/>
          <w:szCs w:val="22"/>
        </w:rPr>
      </w:pPr>
    </w:p>
    <w:p w:rsidR="000C1EB5" w:rsidRPr="003D74ED" w:rsidRDefault="000C1EB5" w:rsidP="00243F5A">
      <w:pPr>
        <w:numPr>
          <w:ilvl w:val="1"/>
          <w:numId w:val="11"/>
        </w:numPr>
        <w:ind w:left="709" w:hanging="709"/>
        <w:jc w:val="left"/>
        <w:rPr>
          <w:rFonts w:cs="Arial"/>
          <w:b/>
          <w:szCs w:val="22"/>
        </w:rPr>
      </w:pPr>
      <w:r w:rsidRPr="003D74ED">
        <w:rPr>
          <w:rFonts w:cs="Arial"/>
          <w:b/>
          <w:szCs w:val="22"/>
        </w:rPr>
        <w:t>Assessment at the School of Health and Human Sciences</w:t>
      </w:r>
      <w:bookmarkEnd w:id="51"/>
    </w:p>
    <w:p w:rsidR="000C1EB5" w:rsidRPr="003D74ED" w:rsidRDefault="000C1EB5" w:rsidP="00243F5A">
      <w:pPr>
        <w:jc w:val="left"/>
        <w:rPr>
          <w:rFonts w:cs="Arial"/>
          <w:szCs w:val="22"/>
        </w:rPr>
      </w:pPr>
      <w:r w:rsidRPr="003D74ED">
        <w:rPr>
          <w:rFonts w:cs="Arial"/>
          <w:szCs w:val="22"/>
        </w:rPr>
        <w:t xml:space="preserve">The University of Essex regards all work produced by students as confidential.  </w:t>
      </w:r>
      <w:proofErr w:type="gramStart"/>
      <w:r w:rsidRPr="003D74ED">
        <w:rPr>
          <w:rFonts w:cs="Arial"/>
          <w:szCs w:val="22"/>
        </w:rPr>
        <w:t>Staff do</w:t>
      </w:r>
      <w:proofErr w:type="gramEnd"/>
      <w:r w:rsidRPr="003D74ED">
        <w:rPr>
          <w:rFonts w:cs="Arial"/>
          <w:szCs w:val="22"/>
        </w:rPr>
        <w:t xml:space="preserve"> not engage in discussion concerning students’ work except with fellow assessors. The School of Health and Human Sciences retains:</w:t>
      </w:r>
    </w:p>
    <w:p w:rsidR="000C1EB5" w:rsidRPr="003D74ED" w:rsidRDefault="000C1EB5" w:rsidP="00243F5A">
      <w:pPr>
        <w:numPr>
          <w:ilvl w:val="0"/>
          <w:numId w:val="18"/>
        </w:numPr>
        <w:tabs>
          <w:tab w:val="clear" w:pos="295"/>
          <w:tab w:val="num" w:pos="284"/>
        </w:tabs>
        <w:ind w:left="284" w:hanging="284"/>
        <w:jc w:val="left"/>
        <w:rPr>
          <w:rFonts w:cs="Arial"/>
          <w:szCs w:val="22"/>
        </w:rPr>
      </w:pPr>
      <w:r w:rsidRPr="003D74ED">
        <w:rPr>
          <w:rFonts w:cs="Arial"/>
          <w:szCs w:val="22"/>
        </w:rPr>
        <w:lastRenderedPageBreak/>
        <w:t>All coursework for one calendar year after the student has completed the programme</w:t>
      </w:r>
    </w:p>
    <w:p w:rsidR="000C1EB5" w:rsidRPr="003D74ED" w:rsidRDefault="000C1EB5" w:rsidP="00243F5A">
      <w:pPr>
        <w:numPr>
          <w:ilvl w:val="0"/>
          <w:numId w:val="18"/>
        </w:numPr>
        <w:tabs>
          <w:tab w:val="clear" w:pos="295"/>
          <w:tab w:val="num" w:pos="284"/>
        </w:tabs>
        <w:ind w:left="284" w:hanging="284"/>
        <w:jc w:val="left"/>
        <w:rPr>
          <w:rFonts w:cs="Arial"/>
          <w:szCs w:val="22"/>
        </w:rPr>
      </w:pPr>
      <w:r w:rsidRPr="003D74ED">
        <w:rPr>
          <w:rFonts w:cs="Arial"/>
          <w:szCs w:val="22"/>
        </w:rPr>
        <w:t>Undergraduate and Graduate dissertations are retained for five calendar years after the student has completed the programme</w:t>
      </w:r>
    </w:p>
    <w:p w:rsidR="000C1EB5" w:rsidRPr="003D74ED" w:rsidRDefault="000C1EB5" w:rsidP="00243F5A">
      <w:pPr>
        <w:numPr>
          <w:ilvl w:val="0"/>
          <w:numId w:val="18"/>
        </w:numPr>
        <w:tabs>
          <w:tab w:val="clear" w:pos="295"/>
          <w:tab w:val="num" w:pos="284"/>
        </w:tabs>
        <w:ind w:left="284" w:hanging="284"/>
        <w:jc w:val="left"/>
        <w:rPr>
          <w:rFonts w:cs="Arial"/>
          <w:szCs w:val="22"/>
        </w:rPr>
      </w:pPr>
      <w:r w:rsidRPr="003D74ED">
        <w:rPr>
          <w:rFonts w:cs="Arial"/>
          <w:szCs w:val="22"/>
        </w:rPr>
        <w:t xml:space="preserve">Doctoral dissertations are retained within the Albert </w:t>
      </w:r>
      <w:proofErr w:type="spellStart"/>
      <w:r w:rsidRPr="003D74ED">
        <w:rPr>
          <w:rFonts w:cs="Arial"/>
          <w:szCs w:val="22"/>
        </w:rPr>
        <w:t>Sloman</w:t>
      </w:r>
      <w:proofErr w:type="spellEnd"/>
      <w:r w:rsidRPr="003D74ED">
        <w:rPr>
          <w:rFonts w:cs="Arial"/>
          <w:szCs w:val="22"/>
        </w:rPr>
        <w:t xml:space="preserve"> Library</w:t>
      </w:r>
    </w:p>
    <w:p w:rsidR="000C1EB5" w:rsidRPr="003D74ED" w:rsidRDefault="000C1EB5" w:rsidP="00243F5A">
      <w:pPr>
        <w:jc w:val="left"/>
        <w:rPr>
          <w:rFonts w:cs="Arial"/>
          <w:color w:val="FF0000"/>
          <w:szCs w:val="22"/>
        </w:rPr>
      </w:pPr>
    </w:p>
    <w:p w:rsidR="000C1EB5" w:rsidRPr="003D74ED" w:rsidRDefault="000C1EB5" w:rsidP="00243F5A">
      <w:pPr>
        <w:jc w:val="left"/>
        <w:rPr>
          <w:rFonts w:cs="Arial"/>
          <w:szCs w:val="22"/>
        </w:rPr>
      </w:pPr>
      <w:r w:rsidRPr="003D74ED">
        <w:rPr>
          <w:rFonts w:cs="Arial"/>
          <w:szCs w:val="22"/>
        </w:rPr>
        <w:t xml:space="preserve">Information about student progress may be shared, within clearly defined parameters, with the student’s employer/sponsor.  However, student work is not disseminated outside the School of Health and Human Sciences without prior consent from the relevant student. </w:t>
      </w:r>
      <w:bookmarkStart w:id="52" w:name="_Toc179877388"/>
    </w:p>
    <w:p w:rsidR="000C1EB5" w:rsidRPr="003D74ED" w:rsidRDefault="000C1EB5" w:rsidP="00243F5A">
      <w:pPr>
        <w:jc w:val="left"/>
        <w:rPr>
          <w:rFonts w:cs="Arial"/>
          <w:szCs w:val="22"/>
        </w:rPr>
      </w:pPr>
    </w:p>
    <w:p w:rsidR="000C1EB5" w:rsidRPr="003D74ED" w:rsidRDefault="000C1EB5" w:rsidP="00243F5A">
      <w:pPr>
        <w:numPr>
          <w:ilvl w:val="1"/>
          <w:numId w:val="11"/>
        </w:numPr>
        <w:ind w:left="709" w:hanging="709"/>
        <w:jc w:val="left"/>
        <w:rPr>
          <w:rFonts w:cs="Arial"/>
          <w:b/>
          <w:szCs w:val="22"/>
        </w:rPr>
      </w:pPr>
      <w:r w:rsidRPr="003D74ED">
        <w:rPr>
          <w:rFonts w:cs="Arial"/>
          <w:b/>
          <w:szCs w:val="22"/>
        </w:rPr>
        <w:t>Other Considerations</w:t>
      </w:r>
      <w:bookmarkEnd w:id="52"/>
    </w:p>
    <w:p w:rsidR="000C1EB5" w:rsidRPr="003D74ED" w:rsidRDefault="000C1EB5" w:rsidP="00243F5A">
      <w:pPr>
        <w:jc w:val="left"/>
        <w:rPr>
          <w:rFonts w:cs="Arial"/>
          <w:szCs w:val="22"/>
        </w:rPr>
      </w:pPr>
      <w:r w:rsidRPr="003D74ED">
        <w:rPr>
          <w:rFonts w:cs="Arial"/>
          <w:szCs w:val="22"/>
        </w:rPr>
        <w:t>Students should also consider the following guidance and legislation in relation to their work:</w:t>
      </w:r>
    </w:p>
    <w:p w:rsidR="000C1EB5" w:rsidRPr="003D74ED" w:rsidRDefault="000C1EB5" w:rsidP="00243F5A">
      <w:pPr>
        <w:numPr>
          <w:ilvl w:val="0"/>
          <w:numId w:val="19"/>
        </w:numPr>
        <w:tabs>
          <w:tab w:val="clear" w:pos="295"/>
          <w:tab w:val="num" w:pos="284"/>
        </w:tabs>
        <w:ind w:left="284" w:hanging="284"/>
        <w:jc w:val="left"/>
        <w:rPr>
          <w:rFonts w:cs="Arial"/>
          <w:szCs w:val="22"/>
        </w:rPr>
      </w:pPr>
      <w:r w:rsidRPr="003D74ED">
        <w:rPr>
          <w:rFonts w:cs="Arial"/>
          <w:szCs w:val="22"/>
        </w:rPr>
        <w:t>Human Rights Act 1998</w:t>
      </w:r>
    </w:p>
    <w:p w:rsidR="000C1EB5" w:rsidRPr="003D74ED" w:rsidRDefault="000C1EB5" w:rsidP="00243F5A">
      <w:pPr>
        <w:numPr>
          <w:ilvl w:val="0"/>
          <w:numId w:val="19"/>
        </w:numPr>
        <w:tabs>
          <w:tab w:val="clear" w:pos="295"/>
          <w:tab w:val="num" w:pos="284"/>
        </w:tabs>
        <w:ind w:left="284" w:hanging="284"/>
        <w:jc w:val="left"/>
        <w:rPr>
          <w:rFonts w:cs="Arial"/>
          <w:szCs w:val="22"/>
        </w:rPr>
      </w:pPr>
      <w:r w:rsidRPr="003D74ED">
        <w:rPr>
          <w:rFonts w:cs="Arial"/>
          <w:szCs w:val="22"/>
        </w:rPr>
        <w:t>Data Protection Act 1998</w:t>
      </w:r>
    </w:p>
    <w:p w:rsidR="000C1EB5" w:rsidRPr="003D74ED" w:rsidRDefault="000C1EB5" w:rsidP="00243F5A">
      <w:pPr>
        <w:numPr>
          <w:ilvl w:val="0"/>
          <w:numId w:val="19"/>
        </w:numPr>
        <w:tabs>
          <w:tab w:val="clear" w:pos="295"/>
          <w:tab w:val="num" w:pos="284"/>
        </w:tabs>
        <w:ind w:left="284" w:hanging="284"/>
        <w:jc w:val="left"/>
        <w:rPr>
          <w:rFonts w:cs="Arial"/>
          <w:szCs w:val="22"/>
        </w:rPr>
      </w:pPr>
      <w:r w:rsidRPr="003D74ED">
        <w:rPr>
          <w:rFonts w:cs="Arial"/>
          <w:szCs w:val="22"/>
        </w:rPr>
        <w:t>Professional guidance on confidentiality, record keeping and conduct (as issued by regulatory bodies relevant to your professional programme)</w:t>
      </w:r>
    </w:p>
    <w:p w:rsidR="000C1EB5" w:rsidRPr="003D74ED" w:rsidRDefault="000C1EB5" w:rsidP="00243F5A">
      <w:pPr>
        <w:numPr>
          <w:ilvl w:val="0"/>
          <w:numId w:val="19"/>
        </w:numPr>
        <w:tabs>
          <w:tab w:val="clear" w:pos="295"/>
          <w:tab w:val="num" w:pos="284"/>
        </w:tabs>
        <w:ind w:left="284" w:hanging="284"/>
        <w:jc w:val="left"/>
        <w:rPr>
          <w:rFonts w:cs="Arial"/>
          <w:szCs w:val="22"/>
        </w:rPr>
      </w:pPr>
      <w:r w:rsidRPr="003D74ED">
        <w:rPr>
          <w:rFonts w:cs="Arial"/>
          <w:szCs w:val="22"/>
        </w:rPr>
        <w:t>Freedom of Information Act 2004</w:t>
      </w:r>
    </w:p>
    <w:p w:rsidR="000C1EB5" w:rsidRPr="003D74ED" w:rsidRDefault="000C1EB5" w:rsidP="00243F5A">
      <w:pPr>
        <w:jc w:val="left"/>
        <w:rPr>
          <w:rFonts w:cs="Arial"/>
          <w:color w:val="FF0000"/>
          <w:szCs w:val="22"/>
        </w:rPr>
      </w:pPr>
    </w:p>
    <w:p w:rsidR="000C1EB5" w:rsidRPr="003D74ED" w:rsidRDefault="000C1EB5" w:rsidP="00243F5A">
      <w:pPr>
        <w:pStyle w:val="Heading3"/>
        <w:numPr>
          <w:ilvl w:val="0"/>
          <w:numId w:val="11"/>
        </w:numPr>
        <w:spacing w:before="0" w:after="0"/>
        <w:ind w:left="709" w:hanging="709"/>
        <w:jc w:val="left"/>
        <w:rPr>
          <w:rFonts w:ascii="Arial" w:hAnsi="Arial" w:cs="Arial"/>
          <w:szCs w:val="22"/>
        </w:rPr>
      </w:pPr>
      <w:bookmarkStart w:id="53" w:name="_Toc179877389"/>
      <w:bookmarkStart w:id="54" w:name="_Toc311028796"/>
      <w:bookmarkStart w:id="55" w:name="_Toc311035336"/>
      <w:bookmarkStart w:id="56" w:name="_Toc311035894"/>
      <w:bookmarkStart w:id="57" w:name="_Toc313440281"/>
      <w:bookmarkStart w:id="58" w:name="_Toc313440716"/>
      <w:bookmarkStart w:id="59" w:name="_Toc313517408"/>
      <w:r w:rsidRPr="003D74ED">
        <w:rPr>
          <w:rFonts w:ascii="Arial" w:hAnsi="Arial" w:cs="Arial"/>
          <w:szCs w:val="22"/>
        </w:rPr>
        <w:t>Penalty</w:t>
      </w:r>
      <w:bookmarkEnd w:id="53"/>
      <w:bookmarkEnd w:id="54"/>
      <w:bookmarkEnd w:id="55"/>
      <w:bookmarkEnd w:id="56"/>
      <w:bookmarkEnd w:id="57"/>
      <w:bookmarkEnd w:id="58"/>
      <w:bookmarkEnd w:id="59"/>
    </w:p>
    <w:p w:rsidR="000C1EB5" w:rsidRPr="003D74ED" w:rsidRDefault="000C1EB5" w:rsidP="00243F5A">
      <w:pPr>
        <w:jc w:val="left"/>
        <w:rPr>
          <w:rFonts w:cs="Arial"/>
          <w:szCs w:val="22"/>
        </w:rPr>
      </w:pPr>
      <w:r w:rsidRPr="003D74ED">
        <w:rPr>
          <w:rFonts w:cs="Arial"/>
          <w:szCs w:val="22"/>
        </w:rPr>
        <w:t xml:space="preserve">Student submissions that breach the School’s Confidentiality Policy, explicitly or implicitly, in the view of the internal assessor/moderator will be penalised. </w:t>
      </w:r>
    </w:p>
    <w:p w:rsidR="000C1EB5" w:rsidRPr="003D74ED" w:rsidRDefault="000C1EB5" w:rsidP="00243F5A">
      <w:pPr>
        <w:jc w:val="left"/>
        <w:rPr>
          <w:rFonts w:cs="Arial"/>
          <w:szCs w:val="22"/>
        </w:rPr>
      </w:pPr>
      <w:r w:rsidRPr="003D74ED">
        <w:rPr>
          <w:rFonts w:cs="Arial"/>
          <w:szCs w:val="22"/>
        </w:rPr>
        <w:t>A breach of confidentiality as outlined above is an Academic Offence and will be referred to the Head of School for investigation.  The complete University policy on Academic Offences can be found at:</w:t>
      </w:r>
    </w:p>
    <w:p w:rsidR="000C1EB5" w:rsidRPr="003D74ED" w:rsidRDefault="00243F5A" w:rsidP="00243F5A">
      <w:pPr>
        <w:jc w:val="left"/>
        <w:rPr>
          <w:rFonts w:cs="Arial"/>
          <w:szCs w:val="22"/>
        </w:rPr>
      </w:pPr>
      <w:hyperlink r:id="rId6" w:history="1">
        <w:r w:rsidR="000C1EB5" w:rsidRPr="003D74ED">
          <w:rPr>
            <w:rStyle w:val="Hyperlink"/>
            <w:rFonts w:cs="Arial"/>
            <w:szCs w:val="22"/>
          </w:rPr>
          <w:t>http://www.essex.ac.uk/academic/docs/regs/offpro.shtm</w:t>
        </w:r>
      </w:hyperlink>
    </w:p>
    <w:p w:rsidR="00AB4F63" w:rsidRPr="003D74ED" w:rsidRDefault="00AB4F63" w:rsidP="00243F5A">
      <w:pPr>
        <w:jc w:val="left"/>
        <w:rPr>
          <w:rFonts w:cs="Arial"/>
        </w:rPr>
      </w:pPr>
    </w:p>
    <w:sectPr w:rsidR="00AB4F63" w:rsidRPr="003D74ED" w:rsidSect="00AB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861"/>
    <w:multiLevelType w:val="hybridMultilevel"/>
    <w:tmpl w:val="CA6AEE1E"/>
    <w:lvl w:ilvl="0" w:tplc="A7004C06">
      <w:start w:val="1"/>
      <w:numFmt w:val="bullet"/>
      <w:lvlText w:val=""/>
      <w:lvlJc w:val="left"/>
      <w:pPr>
        <w:tabs>
          <w:tab w:val="num" w:pos="295"/>
        </w:tabs>
        <w:ind w:left="357" w:hanging="357"/>
      </w:pPr>
      <w:rPr>
        <w:rFonts w:ascii="Symbol" w:hAnsi="Symbol"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2D7B28"/>
    <w:multiLevelType w:val="hybridMultilevel"/>
    <w:tmpl w:val="F24E6312"/>
    <w:lvl w:ilvl="0" w:tplc="1B6A23FE">
      <w:start w:val="1"/>
      <w:numFmt w:val="bullet"/>
      <w:lvlText w:val=""/>
      <w:lvlJc w:val="left"/>
      <w:pPr>
        <w:tabs>
          <w:tab w:val="num" w:pos="295"/>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DD3F72"/>
    <w:multiLevelType w:val="multilevel"/>
    <w:tmpl w:val="ECC4D75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32492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0FEE3F0F"/>
    <w:multiLevelType w:val="hybridMultilevel"/>
    <w:tmpl w:val="EC74B764"/>
    <w:lvl w:ilvl="0" w:tplc="A7004C06">
      <w:start w:val="1"/>
      <w:numFmt w:val="bullet"/>
      <w:lvlText w:val=""/>
      <w:lvlJc w:val="left"/>
      <w:pPr>
        <w:tabs>
          <w:tab w:val="num" w:pos="652"/>
        </w:tabs>
        <w:ind w:left="714" w:hanging="357"/>
      </w:pPr>
      <w:rPr>
        <w:rFonts w:ascii="Symbol" w:hAnsi="Symbol" w:cs="Times New Roman" w:hint="default"/>
        <w:sz w:val="22"/>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nsid w:val="2F325A12"/>
    <w:multiLevelType w:val="hybridMultilevel"/>
    <w:tmpl w:val="7126222C"/>
    <w:lvl w:ilvl="0" w:tplc="1B6A23FE">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625E1"/>
    <w:multiLevelType w:val="hybridMultilevel"/>
    <w:tmpl w:val="A55AF86C"/>
    <w:lvl w:ilvl="0" w:tplc="1B6A23FE">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8A4606"/>
    <w:multiLevelType w:val="hybridMultilevel"/>
    <w:tmpl w:val="441662C2"/>
    <w:lvl w:ilvl="0" w:tplc="1B6A23FE">
      <w:start w:val="1"/>
      <w:numFmt w:val="bullet"/>
      <w:lvlText w:val=""/>
      <w:lvlJc w:val="left"/>
      <w:pPr>
        <w:tabs>
          <w:tab w:val="num" w:pos="295"/>
        </w:tabs>
        <w:ind w:left="357" w:hanging="357"/>
      </w:pPr>
      <w:rPr>
        <w:rFonts w:ascii="Wingdings" w:hAnsi="Wingdings"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DE1E1F"/>
    <w:multiLevelType w:val="multilevel"/>
    <w:tmpl w:val="33B04054"/>
    <w:lvl w:ilvl="0">
      <w:start w:val="1"/>
      <w:numFmt w:val="decimal"/>
      <w:lvlText w:val="%1."/>
      <w:lvlJc w:val="left"/>
      <w:pPr>
        <w:ind w:left="0" w:firstLine="0"/>
      </w:pPr>
      <w:rPr>
        <w:rFonts w:hint="default"/>
        <w:sz w:val="24"/>
        <w:szCs w:val="24"/>
      </w:rPr>
    </w:lvl>
    <w:lvl w:ilvl="1">
      <w:start w:val="5"/>
      <w:numFmt w:val="decimal"/>
      <w:suff w:val="nothing"/>
      <w:lvlText w:val="%1.%2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2"/>
      <w:numFmt w:val="decimal"/>
      <w:suff w:val="nothing"/>
      <w:lvlText w:val="%1.%2.%3 "/>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suff w:val="nothing"/>
      <w:lvlText w:val="%1.%2.%3.%4 "/>
      <w:lvlJc w:val="left"/>
      <w:pPr>
        <w:ind w:left="284" w:firstLine="0"/>
      </w:pPr>
      <w:rPr>
        <w:rFonts w:hint="default"/>
      </w:rPr>
    </w:lvl>
    <w:lvl w:ilvl="4">
      <w:start w:val="1"/>
      <w:numFmt w:val="decimal"/>
      <w:pStyle w:val="Heading5"/>
      <w:suff w:val="nothing"/>
      <w:lvlText w:val="%1.%2.%3.%4.%5 "/>
      <w:lvlJc w:val="left"/>
      <w:pPr>
        <w:ind w:left="0" w:firstLine="0"/>
      </w:pPr>
      <w:rPr>
        <w:rFonts w:hint="default"/>
      </w:rPr>
    </w:lvl>
    <w:lvl w:ilvl="5">
      <w:start w:val="1"/>
      <w:numFmt w:val="decimal"/>
      <w:pStyle w:val="Heading6"/>
      <w:suff w:val="nothing"/>
      <w:lvlText w:val="%1.%2.%3.%4.%5.%6 "/>
      <w:lvlJc w:val="left"/>
      <w:pPr>
        <w:ind w:left="0" w:firstLine="0"/>
      </w:pPr>
      <w:rPr>
        <w:rFonts w:hint="default"/>
      </w:rPr>
    </w:lvl>
    <w:lvl w:ilvl="6">
      <w:start w:val="1"/>
      <w:numFmt w:val="decimal"/>
      <w:pStyle w:val="Heading7"/>
      <w:suff w:val="space"/>
      <w:lvlText w:val="Appendix %7"/>
      <w:lvlJc w:val="left"/>
      <w:pPr>
        <w:ind w:left="1417"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53552282"/>
    <w:multiLevelType w:val="hybridMultilevel"/>
    <w:tmpl w:val="0BD65BF4"/>
    <w:lvl w:ilvl="0" w:tplc="A7004C06">
      <w:start w:val="1"/>
      <w:numFmt w:val="bullet"/>
      <w:lvlText w:val=""/>
      <w:lvlJc w:val="left"/>
      <w:pPr>
        <w:tabs>
          <w:tab w:val="num" w:pos="295"/>
        </w:tabs>
        <w:ind w:left="357" w:hanging="357"/>
      </w:pPr>
      <w:rPr>
        <w:rFonts w:ascii="Symbol" w:hAnsi="Symbol" w:cs="Times New Roman" w:hint="default"/>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73B3A83"/>
    <w:multiLevelType w:val="hybridMultilevel"/>
    <w:tmpl w:val="C49418CE"/>
    <w:lvl w:ilvl="0" w:tplc="A7004C06">
      <w:start w:val="1"/>
      <w:numFmt w:val="bullet"/>
      <w:lvlText w:val=""/>
      <w:lvlJc w:val="left"/>
      <w:pPr>
        <w:tabs>
          <w:tab w:val="num" w:pos="295"/>
        </w:tabs>
        <w:ind w:left="357" w:hanging="357"/>
      </w:pPr>
      <w:rPr>
        <w:rFonts w:ascii="Symbol" w:hAnsi="Symbol"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40A2418"/>
    <w:multiLevelType w:val="hybridMultilevel"/>
    <w:tmpl w:val="C1686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8711305"/>
    <w:multiLevelType w:val="hybridMultilevel"/>
    <w:tmpl w:val="B6D45DF4"/>
    <w:lvl w:ilvl="0" w:tplc="1B6A23FE">
      <w:start w:val="1"/>
      <w:numFmt w:val="bullet"/>
      <w:lvlText w:val=""/>
      <w:lvlJc w:val="left"/>
      <w:pPr>
        <w:tabs>
          <w:tab w:val="num" w:pos="295"/>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FE60CA5"/>
    <w:multiLevelType w:val="hybridMultilevel"/>
    <w:tmpl w:val="9258C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E35851"/>
    <w:multiLevelType w:val="hybridMultilevel"/>
    <w:tmpl w:val="D6F0599C"/>
    <w:lvl w:ilvl="0" w:tplc="32E4D65E">
      <w:start w:val="1"/>
      <w:numFmt w:val="bullet"/>
      <w:lvlText w:val=""/>
      <w:lvlJc w:val="left"/>
      <w:pPr>
        <w:tabs>
          <w:tab w:val="num" w:pos="295"/>
        </w:tabs>
        <w:ind w:left="357" w:hanging="357"/>
      </w:pPr>
      <w:rPr>
        <w:rFonts w:ascii="Symbol" w:hAnsi="Symbol" w:cs="Times New Roman"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F036FE"/>
    <w:multiLevelType w:val="hybridMultilevel"/>
    <w:tmpl w:val="FFD2B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79331A"/>
    <w:multiLevelType w:val="hybridMultilevel"/>
    <w:tmpl w:val="74C88A48"/>
    <w:lvl w:ilvl="0" w:tplc="1B6A23FE">
      <w:start w:val="1"/>
      <w:numFmt w:val="bullet"/>
      <w:lvlText w:val=""/>
      <w:lvlJc w:val="left"/>
      <w:pPr>
        <w:ind w:left="360" w:hanging="360"/>
      </w:pPr>
      <w:rPr>
        <w:rFonts w:ascii="Wingdings" w:hAnsi="Wingdings" w:hint="default"/>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19682B"/>
    <w:multiLevelType w:val="hybridMultilevel"/>
    <w:tmpl w:val="EB9439DC"/>
    <w:lvl w:ilvl="0" w:tplc="1B6A23FE">
      <w:start w:val="1"/>
      <w:numFmt w:val="bullet"/>
      <w:lvlText w:val=""/>
      <w:lvlJc w:val="left"/>
      <w:pPr>
        <w:tabs>
          <w:tab w:val="num" w:pos="295"/>
        </w:tabs>
        <w:ind w:left="357" w:hanging="357"/>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B0534AD"/>
    <w:multiLevelType w:val="hybridMultilevel"/>
    <w:tmpl w:val="19449EEA"/>
    <w:lvl w:ilvl="0" w:tplc="1B6A23FE">
      <w:start w:val="1"/>
      <w:numFmt w:val="bullet"/>
      <w:lvlText w:val=""/>
      <w:lvlJc w:val="left"/>
      <w:pPr>
        <w:tabs>
          <w:tab w:val="num" w:pos="652"/>
        </w:tabs>
        <w:ind w:left="714" w:hanging="357"/>
      </w:pPr>
      <w:rPr>
        <w:rFonts w:ascii="Wingdings" w:hAnsi="Wingdings" w:hint="default"/>
        <w:color w:val="auto"/>
        <w:sz w:val="20"/>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0"/>
  </w:num>
  <w:num w:numId="6">
    <w:abstractNumId w:val="9"/>
  </w:num>
  <w:num w:numId="7">
    <w:abstractNumId w:val="11"/>
  </w:num>
  <w:num w:numId="8">
    <w:abstractNumId w:val="13"/>
  </w:num>
  <w:num w:numId="9">
    <w:abstractNumId w:val="15"/>
  </w:num>
  <w:num w:numId="10">
    <w:abstractNumId w:val="3"/>
  </w:num>
  <w:num w:numId="11">
    <w:abstractNumId w:val="2"/>
  </w:num>
  <w:num w:numId="12">
    <w:abstractNumId w:val="16"/>
  </w:num>
  <w:num w:numId="13">
    <w:abstractNumId w:val="5"/>
  </w:num>
  <w:num w:numId="14">
    <w:abstractNumId w:val="6"/>
  </w:num>
  <w:num w:numId="15">
    <w:abstractNumId w:val="1"/>
  </w:num>
  <w:num w:numId="16">
    <w:abstractNumId w:val="17"/>
  </w:num>
  <w:num w:numId="17">
    <w:abstractNumId w:val="1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2"/>
  </w:compat>
  <w:rsids>
    <w:rsidRoot w:val="000C1EB5"/>
    <w:rsid w:val="000B5D09"/>
    <w:rsid w:val="000C1EB5"/>
    <w:rsid w:val="000E7D57"/>
    <w:rsid w:val="00243F5A"/>
    <w:rsid w:val="00297AE6"/>
    <w:rsid w:val="002A46E2"/>
    <w:rsid w:val="003D74ED"/>
    <w:rsid w:val="004640CD"/>
    <w:rsid w:val="0076044C"/>
    <w:rsid w:val="00790CDA"/>
    <w:rsid w:val="00791348"/>
    <w:rsid w:val="007D7F2D"/>
    <w:rsid w:val="009307BE"/>
    <w:rsid w:val="00AB4F63"/>
    <w:rsid w:val="00C3624A"/>
    <w:rsid w:val="00DB5250"/>
    <w:rsid w:val="00E2046F"/>
    <w:rsid w:val="00F35052"/>
    <w:rsid w:val="00F752BF"/>
    <w:rsid w:val="00FB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B5"/>
    <w:pPr>
      <w:jc w:val="both"/>
    </w:pPr>
    <w:rPr>
      <w:rFonts w:ascii="Arial" w:eastAsia="Times New Roman" w:hAnsi="Arial" w:cs="Times New Roman"/>
      <w:sz w:val="20"/>
      <w:szCs w:val="20"/>
    </w:rPr>
  </w:style>
  <w:style w:type="paragraph" w:styleId="Heading2">
    <w:name w:val="heading 2"/>
    <w:basedOn w:val="Normal"/>
    <w:next w:val="Normal"/>
    <w:link w:val="Heading2Char"/>
    <w:uiPriority w:val="9"/>
    <w:qFormat/>
    <w:rsid w:val="000C1EB5"/>
    <w:pPr>
      <w:keepNext/>
      <w:keepLines/>
      <w:spacing w:before="200"/>
      <w:outlineLvl w:val="1"/>
    </w:pPr>
    <w:rPr>
      <w:rFonts w:ascii="Times" w:hAnsi="Times"/>
      <w:b/>
      <w:bCs/>
      <w:sz w:val="22"/>
      <w:szCs w:val="26"/>
    </w:rPr>
  </w:style>
  <w:style w:type="paragraph" w:styleId="Heading3">
    <w:name w:val="heading 3"/>
    <w:basedOn w:val="Normal"/>
    <w:next w:val="Normal"/>
    <w:link w:val="Heading3Char"/>
    <w:uiPriority w:val="9"/>
    <w:qFormat/>
    <w:rsid w:val="000C1EB5"/>
    <w:pPr>
      <w:keepNext/>
      <w:spacing w:before="240" w:after="60"/>
      <w:outlineLvl w:val="2"/>
    </w:pPr>
    <w:rPr>
      <w:rFonts w:ascii="Times" w:hAnsi="Times"/>
      <w:b/>
      <w:bCs/>
      <w:sz w:val="22"/>
      <w:szCs w:val="26"/>
    </w:rPr>
  </w:style>
  <w:style w:type="paragraph" w:styleId="Heading4">
    <w:name w:val="heading 4"/>
    <w:basedOn w:val="Normal"/>
    <w:next w:val="Normal"/>
    <w:link w:val="Heading4Char"/>
    <w:uiPriority w:val="9"/>
    <w:qFormat/>
    <w:rsid w:val="000C1EB5"/>
    <w:pPr>
      <w:keepNext/>
      <w:spacing w:before="240" w:after="60"/>
      <w:outlineLvl w:val="3"/>
    </w:pPr>
    <w:rPr>
      <w:rFonts w:ascii="Times New Roman" w:hAnsi="Times New Roman"/>
      <w:b/>
      <w:bCs/>
      <w:szCs w:val="28"/>
    </w:rPr>
  </w:style>
  <w:style w:type="paragraph" w:styleId="Heading5">
    <w:name w:val="heading 5"/>
    <w:basedOn w:val="Normal"/>
    <w:next w:val="Normal"/>
    <w:link w:val="Heading5Char"/>
    <w:uiPriority w:val="99"/>
    <w:qFormat/>
    <w:rsid w:val="000C1EB5"/>
    <w:pPr>
      <w:numPr>
        <w:ilvl w:val="4"/>
        <w:numId w:val="1"/>
      </w:numPr>
      <w:spacing w:before="240" w:after="60"/>
      <w:outlineLvl w:val="4"/>
    </w:pPr>
    <w:rPr>
      <w:b/>
      <w:bCs/>
      <w:i/>
      <w:iCs/>
      <w:szCs w:val="26"/>
    </w:rPr>
  </w:style>
  <w:style w:type="paragraph" w:styleId="Heading6">
    <w:name w:val="heading 6"/>
    <w:basedOn w:val="Normal"/>
    <w:next w:val="Normal"/>
    <w:link w:val="Heading6Char"/>
    <w:uiPriority w:val="99"/>
    <w:qFormat/>
    <w:rsid w:val="000C1EB5"/>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0C1EB5"/>
    <w:pPr>
      <w:numPr>
        <w:ilvl w:val="6"/>
        <w:numId w:val="1"/>
      </w:numPr>
      <w:outlineLvl w:val="6"/>
    </w:pPr>
    <w:rPr>
      <w:rFonts w:ascii="Times New Roman" w:hAnsi="Times New Roman"/>
      <w:b/>
      <w:sz w:val="22"/>
      <w:szCs w:val="24"/>
    </w:rPr>
  </w:style>
  <w:style w:type="paragraph" w:styleId="Heading8">
    <w:name w:val="heading 8"/>
    <w:basedOn w:val="Normal"/>
    <w:next w:val="Normal"/>
    <w:link w:val="Heading8Char"/>
    <w:qFormat/>
    <w:rsid w:val="000C1EB5"/>
    <w:pPr>
      <w:numPr>
        <w:ilvl w:val="7"/>
        <w:numId w:val="1"/>
      </w:numPr>
      <w:spacing w:before="240" w:after="60"/>
      <w:outlineLvl w:val="7"/>
    </w:pPr>
    <w:rPr>
      <w:i/>
      <w:iCs/>
      <w:szCs w:val="24"/>
    </w:rPr>
  </w:style>
  <w:style w:type="paragraph" w:styleId="Heading9">
    <w:name w:val="heading 9"/>
    <w:basedOn w:val="Normal"/>
    <w:next w:val="Normal"/>
    <w:link w:val="Heading9Char"/>
    <w:uiPriority w:val="99"/>
    <w:qFormat/>
    <w:rsid w:val="000C1EB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EB5"/>
    <w:rPr>
      <w:rFonts w:ascii="Times" w:eastAsia="Times New Roman" w:hAnsi="Times" w:cs="Times New Roman"/>
      <w:b/>
      <w:bCs/>
      <w:szCs w:val="26"/>
    </w:rPr>
  </w:style>
  <w:style w:type="character" w:customStyle="1" w:styleId="Heading3Char">
    <w:name w:val="Heading 3 Char"/>
    <w:basedOn w:val="DefaultParagraphFont"/>
    <w:link w:val="Heading3"/>
    <w:uiPriority w:val="9"/>
    <w:rsid w:val="000C1EB5"/>
    <w:rPr>
      <w:rFonts w:ascii="Times" w:eastAsia="Times New Roman" w:hAnsi="Times" w:cs="Times New Roman"/>
      <w:b/>
      <w:bCs/>
      <w:szCs w:val="26"/>
    </w:rPr>
  </w:style>
  <w:style w:type="character" w:customStyle="1" w:styleId="Heading4Char">
    <w:name w:val="Heading 4 Char"/>
    <w:basedOn w:val="DefaultParagraphFont"/>
    <w:link w:val="Heading4"/>
    <w:uiPriority w:val="9"/>
    <w:rsid w:val="000C1EB5"/>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uiPriority w:val="99"/>
    <w:rsid w:val="000C1EB5"/>
    <w:rPr>
      <w:rFonts w:ascii="Arial" w:eastAsia="Times New Roman" w:hAnsi="Arial" w:cs="Times New Roman"/>
      <w:b/>
      <w:bCs/>
      <w:i/>
      <w:iCs/>
      <w:sz w:val="20"/>
      <w:szCs w:val="26"/>
    </w:rPr>
  </w:style>
  <w:style w:type="character" w:customStyle="1" w:styleId="Heading6Char">
    <w:name w:val="Heading 6 Char"/>
    <w:basedOn w:val="DefaultParagraphFont"/>
    <w:link w:val="Heading6"/>
    <w:uiPriority w:val="99"/>
    <w:rsid w:val="000C1EB5"/>
    <w:rPr>
      <w:rFonts w:ascii="Arial" w:eastAsia="Times New Roman" w:hAnsi="Arial" w:cs="Times New Roman"/>
      <w:b/>
      <w:bCs/>
    </w:rPr>
  </w:style>
  <w:style w:type="character" w:customStyle="1" w:styleId="Heading7Char">
    <w:name w:val="Heading 7 Char"/>
    <w:basedOn w:val="DefaultParagraphFont"/>
    <w:link w:val="Heading7"/>
    <w:uiPriority w:val="99"/>
    <w:rsid w:val="000C1EB5"/>
    <w:rPr>
      <w:rFonts w:ascii="Times New Roman" w:eastAsia="Times New Roman" w:hAnsi="Times New Roman" w:cs="Times New Roman"/>
      <w:b/>
      <w:szCs w:val="24"/>
    </w:rPr>
  </w:style>
  <w:style w:type="character" w:customStyle="1" w:styleId="Heading8Char">
    <w:name w:val="Heading 8 Char"/>
    <w:basedOn w:val="DefaultParagraphFont"/>
    <w:link w:val="Heading8"/>
    <w:rsid w:val="000C1EB5"/>
    <w:rPr>
      <w:rFonts w:ascii="Arial" w:eastAsia="Times New Roman" w:hAnsi="Arial" w:cs="Times New Roman"/>
      <w:i/>
      <w:iCs/>
      <w:sz w:val="20"/>
      <w:szCs w:val="24"/>
    </w:rPr>
  </w:style>
  <w:style w:type="character" w:customStyle="1" w:styleId="Heading9Char">
    <w:name w:val="Heading 9 Char"/>
    <w:basedOn w:val="DefaultParagraphFont"/>
    <w:link w:val="Heading9"/>
    <w:uiPriority w:val="99"/>
    <w:rsid w:val="000C1EB5"/>
    <w:rPr>
      <w:rFonts w:ascii="Arial" w:eastAsia="Times New Roman" w:hAnsi="Arial" w:cs="Arial"/>
    </w:rPr>
  </w:style>
  <w:style w:type="character" w:styleId="Hyperlink">
    <w:name w:val="Hyperlink"/>
    <w:uiPriority w:val="99"/>
    <w:rsid w:val="000C1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ex.ac.uk/academic/docs/regs/offpro.s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1204</Words>
  <Characters>6866</Characters>
  <Application>Microsoft Office Word</Application>
  <DocSecurity>0</DocSecurity>
  <Lines>57</Lines>
  <Paragraphs>16</Paragraphs>
  <ScaleCrop>false</ScaleCrop>
  <Company>University of Essex</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cwicks</dc:creator>
  <cp:lastModifiedBy>Test C</cp:lastModifiedBy>
  <cp:revision>4</cp:revision>
  <dcterms:created xsi:type="dcterms:W3CDTF">2013-01-08T13:14:00Z</dcterms:created>
  <dcterms:modified xsi:type="dcterms:W3CDTF">2013-09-03T13:15:00Z</dcterms:modified>
</cp:coreProperties>
</file>